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6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6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40" w:before="0" w:after="6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64" w:before="60" w:after="283"/>
        <w:jc w:val="center"/>
        <w:rPr>
          <w:rFonts w:ascii="Arial;sans-serif" w:hAnsi="Arial;sans-serif"/>
          <w:b/>
          <w:color w:val="000000"/>
          <w:sz w:val="24"/>
        </w:rPr>
      </w:pPr>
      <w:r>
        <w:rPr>
          <w:rFonts w:ascii="Arial;sans-serif" w:hAnsi="Arial;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Arial;sans-serif" w:hAnsi="Arial;sans-serif"/>
          <w:b/>
          <w:color w:val="000000"/>
          <w:sz w:val="36"/>
        </w:rPr>
      </w:pPr>
      <w:r>
        <w:rPr>
          <w:rFonts w:ascii="Arial;sans-serif" w:hAnsi="Arial;sans-serif"/>
          <w:b/>
          <w:color w:val="000000"/>
          <w:sz w:val="36"/>
        </w:rPr>
        <w:t>FORM 10-Q</w:t>
      </w:r>
    </w:p>
    <w:tbl>
      <w:tblPr>
        <w:tblW w:w="9672" w:type="dxa"/>
        <w:jc w:val="center"/>
        <w:tblInd w:w="0" w:type="dxa"/>
        <w:tblLayout w:type="fixed"/>
        <w:tblCellMar>
          <w:top w:w="28" w:type="dxa"/>
          <w:left w:w="28" w:type="dxa"/>
          <w:bottom w:w="28" w:type="dxa"/>
          <w:right w:w="28" w:type="dxa"/>
        </w:tblCellMar>
      </w:tblPr>
      <w:tblGrid>
        <w:gridCol w:w="124"/>
        <w:gridCol w:w="109"/>
        <w:gridCol w:w="109"/>
        <w:gridCol w:w="2733"/>
        <w:gridCol w:w="2733"/>
        <w:gridCol w:w="38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c>
          <w:tcPr>
            <w:tcW w:w="38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w:t>
            </w:r>
          </w:p>
        </w:tc>
        <w:tc>
          <w:tcPr>
            <w:tcW w:w="9330" w:type="dxa"/>
            <w:gridSpan w:val="3"/>
            <w:tcBorders/>
            <w:tcMar>
              <w:top w:w="0" w:type="dxa"/>
              <w:left w:w="0" w:type="dxa"/>
              <w:bottom w:w="0" w:type="dxa"/>
              <w:right w:w="0" w:type="dxa"/>
            </w:tcMar>
            <w:vAlign w:val="center"/>
          </w:tcPr>
          <w:p>
            <w:pPr>
              <w:pStyle w:val="TableContents"/>
              <w:bidi w:val="0"/>
              <w:spacing w:lineRule="auto" w:line="264" w:before="100" w:after="120"/>
              <w:jc w:val="left"/>
              <w:rPr>
                <w:rFonts w:ascii="Arial;sans-serif" w:hAnsi="Arial;sans-serif"/>
                <w:b/>
                <w:color w:val="000000"/>
                <w:sz w:val="22"/>
              </w:rPr>
            </w:pPr>
            <w:r>
              <w:rPr>
                <w:rFonts w:ascii="Arial;sans-serif" w:hAnsi="Arial;sans-serif"/>
                <w:b/>
                <w:color w:val="000000"/>
                <w:sz w:val="22"/>
              </w:rPr>
              <w:t>Quarterly Report Pursuant to Section 13 or 15(d) of the Securities Exchange Act of 1934</w:t>
            </w:r>
          </w:p>
        </w:tc>
      </w:tr>
    </w:tbl>
    <w:p>
      <w:pPr>
        <w:pStyle w:val="TextBody"/>
        <w:bidi w:val="0"/>
        <w:spacing w:lineRule="auto" w:line="264" w:before="0" w:after="120"/>
        <w:jc w:val="center"/>
        <w:rPr>
          <w:rFonts w:ascii="Arial;sans-serif" w:hAnsi="Arial;sans-serif"/>
          <w:b/>
          <w:color w:val="000000"/>
          <w:sz w:val="20"/>
        </w:rPr>
      </w:pPr>
      <w:r>
        <w:rPr>
          <w:rFonts w:ascii="Arial;sans-serif" w:hAnsi="Arial;sans-serif"/>
          <w:b/>
          <w:color w:val="000000"/>
          <w:sz w:val="20"/>
        </w:rPr>
        <w:t xml:space="preserve">For the Quarterly Period Ended June 30, 2026 </w:t>
      </w:r>
    </w:p>
    <w:p>
      <w:pPr>
        <w:pStyle w:val="TextBody"/>
        <w:bidi w:val="0"/>
        <w:spacing w:lineRule="auto" w:line="264" w:before="60" w:after="283"/>
        <w:jc w:val="center"/>
        <w:rPr>
          <w:rFonts w:ascii="Arial;sans-serif" w:hAnsi="Arial;sans-serif"/>
          <w:b/>
          <w:color w:val="000000"/>
          <w:sz w:val="20"/>
        </w:rPr>
      </w:pPr>
      <w:r>
        <w:rPr>
          <w:rFonts w:ascii="Arial;sans-serif" w:hAnsi="Arial;sans-serif"/>
          <w:b/>
          <w:color w:val="000000"/>
          <w:sz w:val="20"/>
        </w:rPr>
        <w:t>or</w:t>
      </w:r>
    </w:p>
    <w:tbl>
      <w:tblPr>
        <w:tblW w:w="9747" w:type="dxa"/>
        <w:jc w:val="center"/>
        <w:tblInd w:w="0" w:type="dxa"/>
        <w:tblLayout w:type="fixed"/>
        <w:tblCellMar>
          <w:top w:w="28" w:type="dxa"/>
          <w:left w:w="28" w:type="dxa"/>
          <w:bottom w:w="28" w:type="dxa"/>
          <w:right w:w="28" w:type="dxa"/>
        </w:tblCellMar>
      </w:tblPr>
      <w:tblGrid>
        <w:gridCol w:w="124"/>
        <w:gridCol w:w="109"/>
        <w:gridCol w:w="109"/>
        <w:gridCol w:w="2755"/>
        <w:gridCol w:w="2755"/>
        <w:gridCol w:w="38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38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w:t>
            </w:r>
          </w:p>
        </w:tc>
        <w:tc>
          <w:tcPr>
            <w:tcW w:w="9405" w:type="dxa"/>
            <w:gridSpan w:val="3"/>
            <w:tcBorders/>
            <w:tcMar>
              <w:top w:w="0" w:type="dxa"/>
              <w:left w:w="0" w:type="dxa"/>
              <w:bottom w:w="0" w:type="dxa"/>
              <w:right w:w="0" w:type="dxa"/>
            </w:tcMar>
            <w:vAlign w:val="center"/>
          </w:tcPr>
          <w:p>
            <w:pPr>
              <w:pStyle w:val="TableContents"/>
              <w:bidi w:val="0"/>
              <w:spacing w:lineRule="auto" w:line="264" w:before="180" w:after="120"/>
              <w:jc w:val="left"/>
              <w:rPr>
                <w:rFonts w:ascii="Arial;sans-serif" w:hAnsi="Arial;sans-serif"/>
                <w:b/>
                <w:color w:val="000000"/>
                <w:sz w:val="22"/>
              </w:rPr>
            </w:pPr>
            <w:r>
              <w:rPr>
                <w:rFonts w:ascii="Arial;sans-serif" w:hAnsi="Arial;sans-serif"/>
                <w:b/>
                <w:color w:val="000000"/>
                <w:sz w:val="22"/>
              </w:rPr>
              <w:t>Transition Report Pursuant to Section 13 or 15(d) of the Securities Exchange Act of 1934</w:t>
            </w:r>
          </w:p>
        </w:tc>
      </w:tr>
    </w:tbl>
    <w:p>
      <w:pPr>
        <w:pStyle w:val="TextBody"/>
        <w:bidi w:val="0"/>
        <w:spacing w:lineRule="auto" w:line="264" w:before="20" w:after="180"/>
        <w:jc w:val="center"/>
        <w:rPr>
          <w:rFonts w:ascii="Arial;sans-serif" w:hAnsi="Arial;sans-serif"/>
          <w:b w:val="false"/>
          <w:color w:val="000000"/>
          <w:sz w:val="20"/>
        </w:rPr>
      </w:pPr>
      <w:r>
        <w:rPr>
          <w:rFonts w:ascii="Arial;sans-serif" w:hAnsi="Arial;sans-serif"/>
          <w:b w:val="false"/>
          <w:color w:val="000000"/>
          <w:sz w:val="20"/>
        </w:rPr>
        <w:t xml:space="preserve">Commission File Number 001-06714 </w:t>
      </w:r>
    </w:p>
    <w:p>
      <w:pPr>
        <w:pStyle w:val="TextBody"/>
        <w:bidi w:val="0"/>
        <w:spacing w:lineRule="auto" w:line="240" w:before="0" w:after="0"/>
        <w:jc w:val="center"/>
        <w:rPr>
          <w:rFonts w:ascii="Arial;sans-serif" w:hAnsi="Arial;sans-serif"/>
          <w:b/>
          <w:color w:val="000000"/>
          <w:sz w:val="44"/>
        </w:rPr>
      </w:pPr>
      <w:r>
        <w:rPr>
          <w:rFonts w:ascii="Arial;sans-serif" w:hAnsi="Arial;sans-serif"/>
          <w:b/>
          <w:color w:val="000000"/>
          <w:sz w:val="44"/>
        </w:rPr>
        <w:t xml:space="preserve">GRAHAM HOLDINGS COMPANY </w:t>
      </w:r>
    </w:p>
    <w:tbl>
      <w:tblPr>
        <w:tblW w:w="4680" w:type="dxa"/>
        <w:jc w:val="center"/>
        <w:tblInd w:w="0" w:type="dxa"/>
        <w:tblLayout w:type="fixed"/>
        <w:tblCellMar>
          <w:top w:w="28" w:type="dxa"/>
          <w:left w:w="28" w:type="dxa"/>
          <w:bottom w:w="28" w:type="dxa"/>
          <w:right w:w="28" w:type="dxa"/>
        </w:tblCellMar>
      </w:tblPr>
      <w:tblGrid>
        <w:gridCol w:w="1496"/>
        <w:gridCol w:w="1314"/>
        <w:gridCol w:w="1870"/>
      </w:tblGrid>
      <w:tr>
        <w:trPr/>
        <w:tc>
          <w:tcPr>
            <w:tcW w:w="149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c>
      </w:tr>
    </w:tbl>
    <w:tbl>
      <w:tblPr>
        <w:tblW w:w="5931" w:type="dxa"/>
        <w:jc w:val="left"/>
        <w:tblInd w:w="0" w:type="dxa"/>
        <w:tblLayout w:type="fixed"/>
        <w:tblCellMar>
          <w:top w:w="28" w:type="dxa"/>
          <w:left w:w="28" w:type="dxa"/>
          <w:bottom w:w="28" w:type="dxa"/>
          <w:right w:w="28" w:type="dxa"/>
        </w:tblCellMar>
      </w:tblPr>
      <w:tblGrid>
        <w:gridCol w:w="316"/>
        <w:gridCol w:w="277"/>
        <w:gridCol w:w="277"/>
        <w:gridCol w:w="277"/>
        <w:gridCol w:w="277"/>
        <w:gridCol w:w="277"/>
        <w:gridCol w:w="277"/>
        <w:gridCol w:w="277"/>
        <w:gridCol w:w="277"/>
        <w:gridCol w:w="277"/>
        <w:gridCol w:w="277"/>
        <w:gridCol w:w="277"/>
        <w:gridCol w:w="277"/>
        <w:gridCol w:w="277"/>
        <w:gridCol w:w="277"/>
        <w:gridCol w:w="109"/>
        <w:gridCol w:w="109"/>
        <w:gridCol w:w="109"/>
        <w:gridCol w:w="412"/>
        <w:gridCol w:w="412"/>
        <w:gridCol w:w="586"/>
      </w:tblGrid>
      <w:tr>
        <w:trPr/>
        <w:tc>
          <w:tcPr>
            <w:tcW w:w="31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4194" w:type="dxa"/>
            <w:gridSpan w:val="15"/>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20"/>
              </w:rPr>
            </w:pPr>
            <w:r>
              <w:rPr>
                <w:rFonts w:ascii="Arial;sans-serif" w:hAnsi="Arial;sans-serif"/>
                <w:b/>
                <w:color w:val="000000"/>
                <w:sz w:val="20"/>
              </w:rPr>
              <w:t>53-0182885</w:t>
            </w:r>
          </w:p>
        </w:tc>
      </w:tr>
      <w:tr>
        <w:trPr/>
        <w:tc>
          <w:tcPr>
            <w:tcW w:w="4194" w:type="dxa"/>
            <w:gridSpan w:val="15"/>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(I.R.S. Employer</w:t>
              <w:br/>
              <w:t>Identification No.)</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15"/>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20"/>
              </w:rPr>
            </w:pPr>
            <w:r>
              <w:rPr>
                <w:rFonts w:ascii="Arial;sans-serif" w:hAnsi="Arial;sans-serif"/>
                <w:b/>
                <w:color w:val="000000"/>
                <w:sz w:val="20"/>
              </w:rPr>
              <w:t>1812 North Moore Street, Arlington, Virginia</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10"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20"/>
              </w:rPr>
            </w:pPr>
            <w:r>
              <w:rPr>
                <w:rFonts w:ascii="Arial;sans-serif" w:hAnsi="Arial;sans-serif"/>
                <w:b/>
                <w:color w:val="000000"/>
                <w:sz w:val="20"/>
              </w:rPr>
              <w:t>22209</w:t>
            </w:r>
          </w:p>
        </w:tc>
      </w:tr>
      <w:tr>
        <w:trPr/>
        <w:tc>
          <w:tcPr>
            <w:tcW w:w="4194" w:type="dxa"/>
            <w:gridSpan w:val="15"/>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(Zip Code)</w:t>
            </w:r>
          </w:p>
        </w:tc>
      </w:tr>
    </w:tbl>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 xml:space="preserve">(703) 345-6300 </w:t>
      </w:r>
    </w:p>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p>
      <w:pPr>
        <w:pStyle w:val="TextBody"/>
        <w:bidi w:val="0"/>
        <w:spacing w:lineRule="auto" w:line="264" w:before="0" w:after="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21"/>
        <w:gridCol w:w="1332"/>
        <w:gridCol w:w="1338"/>
        <w:gridCol w:w="109"/>
        <w:gridCol w:w="109"/>
        <w:gridCol w:w="109"/>
        <w:gridCol w:w="530"/>
        <w:gridCol w:w="530"/>
        <w:gridCol w:w="532"/>
        <w:gridCol w:w="109"/>
        <w:gridCol w:w="109"/>
        <w:gridCol w:w="109"/>
        <w:gridCol w:w="1098"/>
        <w:gridCol w:w="1098"/>
        <w:gridCol w:w="1572"/>
      </w:tblGrid>
      <w:tr>
        <w:trPr/>
        <w:tc>
          <w:tcPr>
            <w:tcW w:w="1521"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r>
      <w:tr>
        <w:trPr/>
        <w:tc>
          <w:tcPr>
            <w:tcW w:w="419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8"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4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Class B Common Stock, par value $1.00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 </w:t>
            </w:r>
            <w:r>
              <w:rPr>
                <w:rFonts w:ascii="Arial;sans-serif" w:hAnsi="Arial;sans-serif"/>
                <w:b w:val="false"/>
                <w:color w:val="000000"/>
                <w:sz w:val="18"/>
              </w:rPr>
              <w:t>GHC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lineRule="auto" w:line="264" w:before="0" w:after="60"/>
        <w:jc w:val="left"/>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w:t>
      </w:r>
      <w:r>
        <w:rPr>
          <w:rFonts w:ascii="Arial;sans-serif" w:hAnsi="Arial;sans-serif"/>
          <w:b w:val="false"/>
          <w:color w:val="000000"/>
          <w:sz w:val="20"/>
        </w:rPr>
        <w:t xml:space="preserve">.    No  </w:t>
      </w:r>
      <w:r>
        <w:rPr>
          <w:color w:val="000000"/>
        </w:rPr>
        <w:t>☐</w:t>
      </w:r>
      <w:r>
        <w:rPr>
          <w:rFonts w:ascii="Arial;sans-serif" w:hAnsi="Arial;sans-serif"/>
          <w:b w:val="false"/>
          <w:color w:val="000000"/>
          <w:sz w:val="20"/>
        </w:rPr>
        <w:t xml:space="preserve">. </w:t>
      </w:r>
    </w:p>
    <w:p>
      <w:pPr>
        <w:pStyle w:val="TextBody"/>
        <w:bidi w:val="0"/>
        <w:spacing w:lineRule="auto" w:line="264" w:before="60" w:after="60"/>
        <w:jc w:val="left"/>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w:t>
      </w:r>
      <w:r>
        <w:rPr>
          <w:rFonts w:ascii="Arial;sans-serif" w:hAnsi="Arial;sans-serif"/>
          <w:b w:val="false"/>
          <w:color w:val="000000"/>
          <w:sz w:val="20"/>
        </w:rPr>
        <w:t>.    No  </w:t>
      </w:r>
      <w:r>
        <w:rPr>
          <w:color w:val="000000"/>
        </w:rPr>
        <w:t>☐</w:t>
      </w:r>
      <w:r>
        <w:rPr>
          <w:rFonts w:ascii="Arial;sans-serif" w:hAnsi="Arial;sans-serif"/>
          <w:b w:val="false"/>
          <w:color w:val="000000"/>
          <w:sz w:val="20"/>
        </w:rPr>
        <w:t>.  </w:t>
      </w:r>
    </w:p>
    <w:p>
      <w:pPr>
        <w:pStyle w:val="TextBody"/>
        <w:bidi w:val="0"/>
        <w:spacing w:lineRule="auto" w:line="264" w:before="60" w:after="283"/>
        <w:jc w:val="left"/>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271" w:type="dxa"/>
        <w:jc w:val="left"/>
        <w:tblInd w:w="0" w:type="dxa"/>
        <w:tblLayout w:type="fixed"/>
        <w:tblCellMar>
          <w:top w:w="28" w:type="dxa"/>
          <w:left w:w="28" w:type="dxa"/>
          <w:bottom w:w="28" w:type="dxa"/>
          <w:right w:w="28" w:type="dxa"/>
        </w:tblCellMar>
      </w:tblPr>
      <w:tblGrid>
        <w:gridCol w:w="733"/>
        <w:gridCol w:w="645"/>
        <w:gridCol w:w="646"/>
        <w:gridCol w:w="109"/>
        <w:gridCol w:w="109"/>
        <w:gridCol w:w="109"/>
        <w:gridCol w:w="360"/>
        <w:gridCol w:w="360"/>
        <w:gridCol w:w="361"/>
        <w:gridCol w:w="109"/>
        <w:gridCol w:w="109"/>
        <w:gridCol w:w="109"/>
        <w:gridCol w:w="490"/>
        <w:gridCol w:w="490"/>
        <w:gridCol w:w="491"/>
        <w:gridCol w:w="109"/>
        <w:gridCol w:w="109"/>
        <w:gridCol w:w="109"/>
        <w:gridCol w:w="505"/>
        <w:gridCol w:w="505"/>
        <w:gridCol w:w="506"/>
        <w:gridCol w:w="109"/>
        <w:gridCol w:w="109"/>
        <w:gridCol w:w="109"/>
        <w:gridCol w:w="499"/>
        <w:gridCol w:w="499"/>
        <w:gridCol w:w="501"/>
        <w:gridCol w:w="109"/>
        <w:gridCol w:w="109"/>
        <w:gridCol w:w="154"/>
      </w:tblGrid>
      <w:tr>
        <w:trPr/>
        <w:tc>
          <w:tcPr>
            <w:tcW w:w="73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4" w:before="60" w:after="60"/>
              <w:jc w:val="center"/>
              <w:rPr>
                <w:color w:val="000000"/>
              </w:rPr>
            </w:pPr>
            <w:r>
              <w:rPr>
                <w:color w:val="000000"/>
              </w:rPr>
              <w:t>☒</w:t>
            </w:r>
          </w:p>
        </w:tc>
        <w:tc>
          <w:tcPr>
            <w:tcW w:w="108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Accelerated</w:t>
              <w:br/>
              <w:t>filer</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w:t>
            </w:r>
          </w:p>
        </w:tc>
        <w:tc>
          <w:tcPr>
            <w:tcW w:w="147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Non-accelerated</w:t>
              <w:br/>
              <w:t>filer</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w:t>
            </w:r>
          </w:p>
        </w:tc>
        <w:tc>
          <w:tcPr>
            <w:tcW w:w="151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Smaller reporting</w:t>
              <w:br/>
              <w:t>company</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w:t>
            </w:r>
          </w:p>
        </w:tc>
        <w:tc>
          <w:tcPr>
            <w:tcW w:w="1499"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Emerging growth</w:t>
              <w:br/>
              <w:t>company</w:t>
            </w:r>
          </w:p>
        </w:tc>
        <w:tc>
          <w:tcPr>
            <w:tcW w:w="372" w:type="dxa"/>
            <w:gridSpan w:val="3"/>
            <w:tcBorders/>
            <w:tcMar>
              <w:top w:w="0"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w:t>
            </w:r>
          </w:p>
        </w:tc>
      </w:tr>
    </w:tbl>
    <w:p>
      <w:pPr>
        <w:pStyle w:val="TextBody"/>
        <w:bidi w:val="0"/>
        <w:spacing w:lineRule="auto" w:line="264" w:before="0" w:after="60"/>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64" w:before="60" w:after="60"/>
        <w:jc w:val="left"/>
        <w:rPr/>
      </w:pPr>
      <w:r>
        <w:rPr>
          <w:rFonts w:ascii="Arial;sans-serif" w:hAnsi="Arial;sans-serif"/>
          <w:b w:val="false"/>
          <w:color w:val="000000"/>
          <w:sz w:val="20"/>
        </w:rPr>
        <w:t>Indicate by check mark whether the registrant is a shell company (as defined in Rule 12b-2 of the Exchange Act). Yes  ☐.    No  </w:t>
      </w:r>
      <w:r>
        <w:rPr>
          <w:color w:val="000000"/>
        </w:rPr>
        <w:t>☒</w:t>
      </w:r>
      <w:r>
        <w:rPr>
          <w:rFonts w:ascii="Arial;sans-serif" w:hAnsi="Arial;sans-serif"/>
          <w:b w:val="false"/>
          <w:color w:val="000000"/>
          <w:sz w:val="20"/>
        </w:rPr>
        <w:t>.  </w:t>
      </w:r>
    </w:p>
    <w:p>
      <w:pPr>
        <w:pStyle w:val="TextBody"/>
        <w:bidi w:val="0"/>
        <w:spacing w:lineRule="auto" w:line="264" w:before="120" w:after="60"/>
        <w:jc w:val="left"/>
        <w:rPr>
          <w:rFonts w:ascii="Arial;sans-serif" w:hAnsi="Arial;sans-serif"/>
          <w:b w:val="false"/>
          <w:color w:val="000000"/>
          <w:sz w:val="20"/>
        </w:rPr>
      </w:pPr>
      <w:r>
        <w:rPr>
          <w:rFonts w:ascii="Arial;sans-serif" w:hAnsi="Arial;sans-serif"/>
          <w:b w:val="false"/>
          <w:color w:val="000000"/>
          <w:sz w:val="20"/>
        </w:rPr>
        <w:t>Shares outstanding at July 24, 2026:</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Class A Common Stock – 964,001 Shares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Class B Common Stock – 3,270,927 Shares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GRAHAM HOLDINGS COMPANY</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Index to Form 10-Q</w:t>
      </w:r>
    </w:p>
    <w:p>
      <w:pPr>
        <w:pStyle w:val="TextBody"/>
        <w:bidi w:val="0"/>
        <w:spacing w:lineRule="auto" w:line="288" w:before="0" w:after="0"/>
        <w:jc w:val="left"/>
        <w:rPr>
          <w:color w:val="000000"/>
        </w:rPr>
      </w:pPr>
      <w:r>
        <w:rPr>
          <w:color w:val="000000"/>
        </w:rPr>
        <w:t> </w:t>
      </w:r>
    </w:p>
    <w:tbl>
      <w:tblPr>
        <w:tblW w:w="9514" w:type="dxa"/>
        <w:jc w:val="left"/>
        <w:tblInd w:w="0" w:type="dxa"/>
        <w:tblLayout w:type="fixed"/>
        <w:tblCellMar>
          <w:top w:w="28" w:type="dxa"/>
          <w:left w:w="28" w:type="dxa"/>
          <w:bottom w:w="28" w:type="dxa"/>
          <w:right w:w="28" w:type="dxa"/>
        </w:tblCellMar>
      </w:tblPr>
      <w:tblGrid>
        <w:gridCol w:w="558"/>
        <w:gridCol w:w="490"/>
        <w:gridCol w:w="490"/>
        <w:gridCol w:w="2524"/>
        <w:gridCol w:w="2524"/>
        <w:gridCol w:w="2556"/>
        <w:gridCol w:w="109"/>
        <w:gridCol w:w="109"/>
        <w:gridCol w:w="154"/>
      </w:tblGrid>
      <w:tr>
        <w:trPr/>
        <w:tc>
          <w:tcPr>
            <w:tcW w:w="55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c>
          <w:tcPr>
            <w:tcW w:w="2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42" w:type="dxa"/>
            <w:gridSpan w:val="6"/>
            <w:tcBorders/>
            <w:tcMar>
              <w:top w:w="0" w:type="dxa"/>
              <w:left w:w="0" w:type="dxa"/>
              <w:bottom w:w="0" w:type="dxa"/>
              <w:right w:w="0" w:type="dxa"/>
            </w:tcMar>
            <w:vAlign w:val="center"/>
          </w:tcPr>
          <w:p>
            <w:pPr>
              <w:pStyle w:val="TableContents"/>
              <w:bidi w:val="0"/>
              <w:spacing w:lineRule="auto" w:line="264" w:before="0" w:after="0"/>
              <w:jc w:val="left"/>
              <w:rPr/>
            </w:pPr>
            <w:hyperlink w:anchor="ifcab7a45e5f743d395bdea6d3de7ed8e_10">
              <w:r>
                <w:rPr>
                  <w:rStyle w:val="InternetLink"/>
                  <w:rFonts w:ascii="Arial;sans-serif" w:hAnsi="Arial;sans-serif"/>
                  <w:b w:val="false"/>
                  <w:color w:val="0000FF"/>
                  <w:sz w:val="18"/>
                  <w:u w:val="single"/>
                </w:rPr>
                <w:t>PART I. 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64" w:before="0" w:after="0"/>
              <w:jc w:val="right"/>
              <w:rPr>
                <w:color w:val="000000"/>
              </w:rPr>
            </w:pPr>
            <w:r>
              <w:rPr>
                <w:color w:val="000000"/>
              </w:rPr>
              <w:t> </w:t>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Item 1.</w:t>
            </w:r>
          </w:p>
        </w:tc>
        <w:tc>
          <w:tcPr>
            <w:tcW w:w="7604"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fcab7a45e5f743d395bdea6d3de7ed8e_13">
              <w:r>
                <w:rPr>
                  <w:rStyle w:val="InternetLink"/>
                  <w:rFonts w:ascii="Arial;sans-serif" w:hAnsi="Arial;sans-serif"/>
                  <w:b w:val="false"/>
                  <w:color w:val="0000FF"/>
                  <w:sz w:val="18"/>
                  <w:u w:val="single"/>
                </w:rPr>
                <w:t>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64" w:before="0" w:after="0"/>
              <w:jc w:val="right"/>
              <w:rPr>
                <w:color w:val="000000"/>
              </w:rPr>
            </w:pPr>
            <w:r>
              <w:rPr>
                <w:color w:val="000000"/>
              </w:rPr>
              <w:t> </w:t>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64" w:before="0" w:after="0"/>
              <w:jc w:val="left"/>
              <w:rPr>
                <w:color w:val="000000"/>
              </w:rPr>
            </w:pPr>
            <w:r>
              <w:rPr>
                <w:color w:val="000000"/>
              </w:rPr>
              <w:t> </w:t>
            </w:r>
          </w:p>
        </w:tc>
        <w:tc>
          <w:tcPr>
            <w:tcW w:w="7604"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fcab7a45e5f743d395bdea6d3de7ed8e_16">
              <w:r>
                <w:rPr>
                  <w:rStyle w:val="InternetLink"/>
                  <w:rFonts w:ascii="Arial;sans-serif" w:hAnsi="Arial;sans-serif"/>
                  <w:b w:val="false"/>
                  <w:color w:val="0000FF"/>
                  <w:sz w:val="18"/>
                  <w:u w:val="single"/>
                </w:rPr>
                <w:t>Condensed Consolidated Statements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ab7a45e5f743d395bdea6d3de7ed8e_16">
              <w:r>
                <w:rPr>
                  <w:rStyle w:val="InternetLink"/>
                  <w:rFonts w:ascii="Arial;sans-serif" w:hAnsi="Arial;sans-serif"/>
                  <w:b w:val="false"/>
                  <w:color w:val="0000FF"/>
                  <w:sz w:val="18"/>
                  <w:u w:val="single"/>
                </w:rPr>
                <w:t>1</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64" w:before="0" w:after="0"/>
              <w:jc w:val="left"/>
              <w:rPr>
                <w:color w:val="000000"/>
              </w:rPr>
            </w:pPr>
            <w:r>
              <w:rPr>
                <w:color w:val="000000"/>
              </w:rPr>
              <w:t> </w:t>
            </w:r>
          </w:p>
        </w:tc>
        <w:tc>
          <w:tcPr>
            <w:tcW w:w="7604" w:type="dxa"/>
            <w:gridSpan w:val="3"/>
            <w:tcBorders/>
            <w:tcMar>
              <w:top w:w="0" w:type="dxa"/>
              <w:left w:w="0" w:type="dxa"/>
              <w:bottom w:w="0" w:type="dxa"/>
              <w:right w:w="0" w:type="dxa"/>
            </w:tcMar>
            <w:vAlign w:val="center"/>
          </w:tcPr>
          <w:p>
            <w:pPr>
              <w:pStyle w:val="TableContents"/>
              <w:bidi w:val="0"/>
              <w:spacing w:lineRule="auto" w:line="264" w:before="0" w:after="0"/>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64" w:before="0" w:after="0"/>
              <w:jc w:val="right"/>
              <w:rPr>
                <w:color w:val="000000"/>
              </w:rPr>
            </w:pPr>
            <w:r>
              <w:rPr>
                <w:color w:val="000000"/>
              </w:rPr>
              <w:t> </w:t>
            </w:r>
          </w:p>
        </w:tc>
      </w:tr>
      <w:tr>
        <w:trPr/>
        <w:tc>
          <w:tcPr>
            <w:tcW w:w="1538" w:type="dxa"/>
            <w:gridSpan w:val="3"/>
            <w:tcBorders/>
            <w:tcMar>
              <w:top w:w="0" w:type="dxa"/>
              <w:left w:w="0" w:type="dxa"/>
              <w:bottom w:w="0" w:type="dxa"/>
              <w:right w:w="0" w:type="dxa"/>
            </w:tcMar>
            <w:vAlign w:val="center"/>
          </w:tcPr>
          <w:p>
            <w:pPr>
              <w:pStyle w:val="TableContents"/>
              <w:bidi w:val="0"/>
              <w:spacing w:lineRule="auto" w:line="264" w:before="0" w:after="0"/>
              <w:jc w:val="left"/>
              <w:rPr>
                <w:color w:val="000000"/>
              </w:rPr>
            </w:pPr>
            <w:r>
              <w:rPr>
                <w:color w:val="000000"/>
              </w:rPr>
              <w:t> </w:t>
            </w:r>
          </w:p>
        </w:tc>
        <w:tc>
          <w:tcPr>
            <w:tcW w:w="7604"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fcab7a45e5f743d395bdea6d3de7ed8e_19">
              <w:r>
                <w:rPr>
                  <w:rStyle w:val="InternetLink"/>
                  <w:rFonts w:ascii="Arial;sans-serif" w:hAnsi="Arial;sans-serif"/>
                  <w:b w:val="false"/>
                  <w:color w:val="0000FF"/>
                  <w:sz w:val="18"/>
                  <w:u w:val="single"/>
                </w:rPr>
                <w:t>Condensed Consolidated Statements of Comprehensive Income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ab7a45e5f743d395bdea6d3de7ed8e_19">
              <w:r>
                <w:rPr>
                  <w:rStyle w:val="InternetLink"/>
                  <w:rFonts w:ascii="Arial;sans-serif" w:hAnsi="Arial;sans-serif"/>
                  <w:b w:val="false"/>
                  <w:color w:val="0000FF"/>
                  <w:sz w:val="18"/>
                  <w:u w:val="single"/>
                </w:rPr>
                <w:t>2</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64" w:before="0" w:after="0"/>
              <w:jc w:val="left"/>
              <w:rPr>
                <w:color w:val="000000"/>
              </w:rPr>
            </w:pPr>
            <w:r>
              <w:rPr>
                <w:color w:val="000000"/>
              </w:rPr>
              <w:t> </w:t>
            </w:r>
          </w:p>
        </w:tc>
        <w:tc>
          <w:tcPr>
            <w:tcW w:w="7604" w:type="dxa"/>
            <w:gridSpan w:val="3"/>
            <w:tcBorders/>
            <w:tcMar>
              <w:top w:w="0" w:type="dxa"/>
              <w:left w:w="0" w:type="dxa"/>
              <w:bottom w:w="0" w:type="dxa"/>
              <w:right w:w="0" w:type="dxa"/>
            </w:tcMar>
            <w:vAlign w:val="center"/>
          </w:tcPr>
          <w:p>
            <w:pPr>
              <w:pStyle w:val="TableContents"/>
              <w:bidi w:val="0"/>
              <w:spacing w:lineRule="auto" w:line="264" w:before="0" w:after="0"/>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64" w:before="0" w:after="0"/>
              <w:jc w:val="right"/>
              <w:rPr>
                <w:color w:val="000000"/>
              </w:rPr>
            </w:pPr>
            <w:r>
              <w:rPr>
                <w:color w:val="000000"/>
              </w:rPr>
              <w:t> </w:t>
            </w:r>
          </w:p>
        </w:tc>
      </w:tr>
      <w:tr>
        <w:trPr/>
        <w:tc>
          <w:tcPr>
            <w:tcW w:w="1538" w:type="dxa"/>
            <w:gridSpan w:val="3"/>
            <w:tcBorders/>
            <w:tcMar>
              <w:top w:w="0" w:type="dxa"/>
              <w:left w:w="0" w:type="dxa"/>
              <w:bottom w:w="0" w:type="dxa"/>
              <w:right w:w="0" w:type="dxa"/>
            </w:tcMar>
            <w:vAlign w:val="center"/>
          </w:tcPr>
          <w:p>
            <w:pPr>
              <w:pStyle w:val="TableContents"/>
              <w:bidi w:val="0"/>
              <w:spacing w:lineRule="auto" w:line="264" w:before="0" w:after="0"/>
              <w:jc w:val="left"/>
              <w:rPr>
                <w:color w:val="000000"/>
              </w:rPr>
            </w:pPr>
            <w:r>
              <w:rPr>
                <w:color w:val="000000"/>
              </w:rPr>
              <w:t> </w:t>
            </w:r>
          </w:p>
        </w:tc>
        <w:tc>
          <w:tcPr>
            <w:tcW w:w="7604"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fcab7a45e5f743d395bdea6d3de7ed8e_22">
              <w:r>
                <w:rPr>
                  <w:rStyle w:val="InternetLink"/>
                  <w:rFonts w:ascii="Arial;sans-serif" w:hAnsi="Arial;sans-serif"/>
                  <w:b w:val="false"/>
                  <w:color w:val="0000FF"/>
                  <w:sz w:val="18"/>
                  <w:u w:val="single"/>
                </w:rPr>
                <w:t>Condensed 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ab7a45e5f743d395bdea6d3de7ed8e_22">
              <w:r>
                <w:rPr>
                  <w:rStyle w:val="InternetLink"/>
                  <w:rFonts w:ascii="Arial;sans-serif" w:hAnsi="Arial;sans-serif"/>
                  <w:b w:val="false"/>
                  <w:color w:val="0000FF"/>
                  <w:sz w:val="18"/>
                  <w:u w:val="single"/>
                </w:rPr>
                <w:t>3</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64" w:before="0" w:after="0"/>
              <w:jc w:val="left"/>
              <w:rPr>
                <w:color w:val="000000"/>
              </w:rPr>
            </w:pPr>
            <w:r>
              <w:rPr>
                <w:color w:val="000000"/>
              </w:rPr>
              <w:t> </w:t>
            </w:r>
          </w:p>
        </w:tc>
        <w:tc>
          <w:tcPr>
            <w:tcW w:w="7604" w:type="dxa"/>
            <w:gridSpan w:val="3"/>
            <w:tcBorders/>
            <w:tcMar>
              <w:top w:w="0" w:type="dxa"/>
              <w:left w:w="0" w:type="dxa"/>
              <w:bottom w:w="0" w:type="dxa"/>
              <w:right w:w="0" w:type="dxa"/>
            </w:tcMar>
            <w:vAlign w:val="center"/>
          </w:tcPr>
          <w:p>
            <w:pPr>
              <w:pStyle w:val="TableContents"/>
              <w:bidi w:val="0"/>
              <w:spacing w:lineRule="auto" w:line="264" w:before="0" w:after="0"/>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64" w:before="0" w:after="0"/>
              <w:jc w:val="right"/>
              <w:rPr>
                <w:color w:val="000000"/>
              </w:rPr>
            </w:pPr>
            <w:r>
              <w:rPr>
                <w:color w:val="000000"/>
              </w:rPr>
              <w:t> </w:t>
            </w:r>
          </w:p>
        </w:tc>
      </w:tr>
      <w:tr>
        <w:trPr/>
        <w:tc>
          <w:tcPr>
            <w:tcW w:w="1538" w:type="dxa"/>
            <w:gridSpan w:val="3"/>
            <w:tcBorders/>
            <w:tcMar>
              <w:top w:w="0" w:type="dxa"/>
              <w:left w:w="0" w:type="dxa"/>
              <w:bottom w:w="0" w:type="dxa"/>
              <w:right w:w="0" w:type="dxa"/>
            </w:tcMar>
            <w:vAlign w:val="center"/>
          </w:tcPr>
          <w:p>
            <w:pPr>
              <w:pStyle w:val="TableContents"/>
              <w:bidi w:val="0"/>
              <w:spacing w:lineRule="auto" w:line="264" w:before="0" w:after="0"/>
              <w:jc w:val="left"/>
              <w:rPr>
                <w:color w:val="000000"/>
              </w:rPr>
            </w:pPr>
            <w:r>
              <w:rPr>
                <w:color w:val="000000"/>
              </w:rPr>
              <w:t> </w:t>
            </w:r>
          </w:p>
        </w:tc>
        <w:tc>
          <w:tcPr>
            <w:tcW w:w="7604"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fcab7a45e5f743d395bdea6d3de7ed8e_25">
              <w:r>
                <w:rPr>
                  <w:rStyle w:val="InternetLink"/>
                  <w:rFonts w:ascii="Arial;sans-serif" w:hAnsi="Arial;sans-serif"/>
                  <w:b w:val="false"/>
                  <w:color w:val="0000FF"/>
                  <w:sz w:val="18"/>
                  <w:u w:val="single"/>
                </w:rPr>
                <w:t>Condensed 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ab7a45e5f743d395bdea6d3de7ed8e_25">
              <w:r>
                <w:rPr>
                  <w:rStyle w:val="InternetLink"/>
                  <w:rFonts w:ascii="Arial;sans-serif" w:hAnsi="Arial;sans-serif"/>
                  <w:b w:val="false"/>
                  <w:color w:val="0000FF"/>
                  <w:sz w:val="18"/>
                  <w:u w:val="single"/>
                </w:rPr>
                <w:t>4</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fcab7a45e5f743d395bdea6d3de7ed8e_28">
              <w:r>
                <w:rPr>
                  <w:rStyle w:val="InternetLink"/>
                  <w:rFonts w:ascii="Arial;sans-serif" w:hAnsi="Arial;sans-serif"/>
                  <w:b w:val="false"/>
                  <w:color w:val="0000FF"/>
                  <w:sz w:val="18"/>
                  <w:u w:val="single"/>
                </w:rPr>
                <w:t>Condensed Consolidated Statements of Changes in Common Stockholders'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ab7a45e5f743d395bdea6d3de7ed8e_28">
              <w:r>
                <w:rPr>
                  <w:rStyle w:val="InternetLink"/>
                  <w:rFonts w:ascii="Arial;sans-serif" w:hAnsi="Arial;sans-serif"/>
                  <w:b w:val="false"/>
                  <w:color w:val="0000FF"/>
                  <w:sz w:val="18"/>
                  <w:u w:val="single"/>
                </w:rPr>
                <w:t>5</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64" w:before="0" w:after="0"/>
              <w:jc w:val="left"/>
              <w:rPr>
                <w:color w:val="000000"/>
              </w:rPr>
            </w:pPr>
            <w:r>
              <w:rPr>
                <w:color w:val="000000"/>
              </w:rPr>
              <w:t> </w:t>
            </w:r>
          </w:p>
        </w:tc>
        <w:tc>
          <w:tcPr>
            <w:tcW w:w="7604" w:type="dxa"/>
            <w:gridSpan w:val="3"/>
            <w:tcBorders/>
            <w:tcMar>
              <w:top w:w="0" w:type="dxa"/>
              <w:left w:w="0" w:type="dxa"/>
              <w:bottom w:w="0" w:type="dxa"/>
              <w:right w:w="0" w:type="dxa"/>
            </w:tcMar>
            <w:vAlign w:val="center"/>
          </w:tcPr>
          <w:p>
            <w:pPr>
              <w:pStyle w:val="TableContents"/>
              <w:bidi w:val="0"/>
              <w:spacing w:lineRule="auto" w:line="264" w:before="0" w:after="0"/>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64" w:before="0" w:after="0"/>
              <w:jc w:val="right"/>
              <w:rPr>
                <w:color w:val="000000"/>
              </w:rPr>
            </w:pPr>
            <w:r>
              <w:rPr>
                <w:color w:val="000000"/>
              </w:rPr>
              <w:t> </w:t>
            </w:r>
          </w:p>
        </w:tc>
      </w:tr>
      <w:tr>
        <w:trPr/>
        <w:tc>
          <w:tcPr>
            <w:tcW w:w="1538" w:type="dxa"/>
            <w:gridSpan w:val="3"/>
            <w:tcBorders/>
            <w:tcMar>
              <w:top w:w="0" w:type="dxa"/>
              <w:left w:w="0" w:type="dxa"/>
              <w:bottom w:w="0" w:type="dxa"/>
              <w:right w:w="0" w:type="dxa"/>
            </w:tcMar>
            <w:vAlign w:val="center"/>
          </w:tcPr>
          <w:p>
            <w:pPr>
              <w:pStyle w:val="TableContents"/>
              <w:bidi w:val="0"/>
              <w:spacing w:lineRule="auto" w:line="264" w:before="0" w:after="0"/>
              <w:jc w:val="left"/>
              <w:rPr>
                <w:color w:val="000000"/>
              </w:rPr>
            </w:pPr>
            <w:r>
              <w:rPr>
                <w:color w:val="000000"/>
              </w:rPr>
              <w:t> </w:t>
            </w:r>
          </w:p>
        </w:tc>
        <w:tc>
          <w:tcPr>
            <w:tcW w:w="7604"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fcab7a45e5f743d395bdea6d3de7ed8e_31">
              <w:r>
                <w:rPr>
                  <w:rStyle w:val="InternetLink"/>
                  <w:rFonts w:ascii="Arial;sans-serif" w:hAnsi="Arial;sans-serif"/>
                  <w:b w:val="false"/>
                  <w:color w:val="0000FF"/>
                  <w:sz w:val="18"/>
                  <w:u w:val="single"/>
                </w:rPr>
                <w:t>Notes to Condensed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ab7a45e5f743d395bdea6d3de7ed8e_31">
              <w:r>
                <w:rPr>
                  <w:rStyle w:val="InternetLink"/>
                  <w:rFonts w:ascii="Arial;sans-serif" w:hAnsi="Arial;sans-serif"/>
                  <w:b w:val="false"/>
                  <w:color w:val="0000FF"/>
                  <w:sz w:val="18"/>
                  <w:u w:val="single"/>
                </w:rPr>
                <w:t>7</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604"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fcab7a45e5f743d395bdea6d3de7ed8e_34">
              <w:r>
                <w:rPr>
                  <w:rStyle w:val="InternetLink"/>
                  <w:rFonts w:ascii="Arial;sans-serif" w:hAnsi="Arial;sans-serif"/>
                  <w:b w:val="false"/>
                  <w:color w:val="0000FF"/>
                  <w:sz w:val="18"/>
                  <w:u w:val="single"/>
                </w:rPr>
                <w:t>Organization, Basis of Presentation and Recent Accounting Pronouncements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ab7a45e5f743d395bdea6d3de7ed8e_34">
              <w:r>
                <w:rPr>
                  <w:rStyle w:val="InternetLink"/>
                  <w:rFonts w:ascii="Arial;sans-serif" w:hAnsi="Arial;sans-serif"/>
                  <w:b w:val="false"/>
                  <w:color w:val="0000FF"/>
                  <w:sz w:val="18"/>
                  <w:u w:val="single"/>
                </w:rPr>
                <w:t>7</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604"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fcab7a45e5f743d395bdea6d3de7ed8e_37">
              <w:r>
                <w:rPr>
                  <w:rStyle w:val="InternetLink"/>
                  <w:rFonts w:ascii="Arial;sans-serif" w:hAnsi="Arial;sans-serif"/>
                  <w:b w:val="false"/>
                  <w:color w:val="0000FF"/>
                  <w:sz w:val="18"/>
                  <w:u w:val="single"/>
                </w:rPr>
                <w:t>Acquisitions and Dispositions of Businesses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ab7a45e5f743d395bdea6d3de7ed8e_37">
              <w:r>
                <w:rPr>
                  <w:rStyle w:val="InternetLink"/>
                  <w:rFonts w:ascii="Arial;sans-serif" w:hAnsi="Arial;sans-serif"/>
                  <w:b w:val="false"/>
                  <w:color w:val="0000FF"/>
                  <w:sz w:val="18"/>
                  <w:u w:val="single"/>
                </w:rPr>
                <w:t>8</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604"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fcab7a45e5f743d395bdea6d3de7ed8e_40">
              <w:r>
                <w:rPr>
                  <w:rStyle w:val="InternetLink"/>
                  <w:rFonts w:ascii="Arial;sans-serif" w:hAnsi="Arial;sans-serif"/>
                  <w:b w:val="false"/>
                  <w:color w:val="0000FF"/>
                  <w:sz w:val="18"/>
                  <w:u w:val="single"/>
                </w:rPr>
                <w:t>Investments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ab7a45e5f743d395bdea6d3de7ed8e_40">
              <w:r>
                <w:rPr>
                  <w:rStyle w:val="InternetLink"/>
                  <w:rFonts w:ascii="Arial;sans-serif" w:hAnsi="Arial;sans-serif"/>
                  <w:b w:val="false"/>
                  <w:color w:val="0000FF"/>
                  <w:sz w:val="18"/>
                  <w:u w:val="single"/>
                </w:rPr>
                <w:t>10</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604"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fcab7a45e5f743d395bdea6d3de7ed8e_43">
              <w:r>
                <w:rPr>
                  <w:rStyle w:val="InternetLink"/>
                  <w:rFonts w:ascii="Arial;sans-serif" w:hAnsi="Arial;sans-serif"/>
                  <w:b w:val="false"/>
                  <w:color w:val="0000FF"/>
                  <w:sz w:val="18"/>
                  <w:u w:val="single"/>
                </w:rPr>
                <w:t>Accounts Receivable, Accounts Payable, Vehicle Floor Plan Payable and Accrued Liabilities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ab7a45e5f743d395bdea6d3de7ed8e_43">
              <w:r>
                <w:rPr>
                  <w:rStyle w:val="InternetLink"/>
                  <w:rFonts w:ascii="Arial;sans-serif" w:hAnsi="Arial;sans-serif"/>
                  <w:b w:val="false"/>
                  <w:color w:val="0000FF"/>
                  <w:sz w:val="18"/>
                  <w:u w:val="single"/>
                </w:rPr>
                <w:t>11</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604"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fcab7a45e5f743d395bdea6d3de7ed8e_46">
              <w:r>
                <w:rPr>
                  <w:rStyle w:val="InternetLink"/>
                  <w:rFonts w:ascii="Arial;sans-serif" w:hAnsi="Arial;sans-serif"/>
                  <w:b w:val="false"/>
                  <w:color w:val="0000FF"/>
                  <w:sz w:val="18"/>
                  <w:u w:val="single"/>
                </w:rPr>
                <w:t>Inventories and Contracts in Progress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ab7a45e5f743d395bdea6d3de7ed8e_46">
              <w:r>
                <w:rPr>
                  <w:rStyle w:val="InternetLink"/>
                  <w:rFonts w:ascii="Arial;sans-serif" w:hAnsi="Arial;sans-serif"/>
                  <w:b w:val="false"/>
                  <w:color w:val="0000FF"/>
                  <w:sz w:val="18"/>
                  <w:u w:val="single"/>
                </w:rPr>
                <w:t>12</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604"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fcab7a45e5f743d395bdea6d3de7ed8e_49">
              <w:r>
                <w:rPr>
                  <w:rStyle w:val="InternetLink"/>
                  <w:rFonts w:ascii="Arial;sans-serif" w:hAnsi="Arial;sans-serif"/>
                  <w:b w:val="false"/>
                  <w:color w:val="0000FF"/>
                  <w:sz w:val="18"/>
                  <w:u w:val="single"/>
                </w:rPr>
                <w:t>Goodwill and Other Intangible Assets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ab7a45e5f743d395bdea6d3de7ed8e_49">
              <w:r>
                <w:rPr>
                  <w:rStyle w:val="InternetLink"/>
                  <w:rFonts w:ascii="Arial;sans-serif" w:hAnsi="Arial;sans-serif"/>
                  <w:b w:val="false"/>
                  <w:color w:val="0000FF"/>
                  <w:sz w:val="18"/>
                  <w:u w:val="single"/>
                </w:rPr>
                <w:t>12</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604"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fcab7a45e5f743d395bdea6d3de7ed8e_52">
              <w:r>
                <w:rPr>
                  <w:rStyle w:val="InternetLink"/>
                  <w:rFonts w:ascii="Arial;sans-serif" w:hAnsi="Arial;sans-serif"/>
                  <w:b w:val="false"/>
                  <w:color w:val="0000FF"/>
                  <w:sz w:val="18"/>
                  <w:u w:val="single"/>
                </w:rPr>
                <w:t>Debt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ab7a45e5f743d395bdea6d3de7ed8e_52">
              <w:r>
                <w:rPr>
                  <w:rStyle w:val="InternetLink"/>
                  <w:rFonts w:ascii="Arial;sans-serif" w:hAnsi="Arial;sans-serif"/>
                  <w:b w:val="false"/>
                  <w:color w:val="0000FF"/>
                  <w:sz w:val="18"/>
                  <w:u w:val="single"/>
                </w:rPr>
                <w:t>13</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604"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fcab7a45e5f743d395bdea6d3de7ed8e_55">
              <w:r>
                <w:rPr>
                  <w:rStyle w:val="InternetLink"/>
                  <w:rFonts w:ascii="Arial;sans-serif" w:hAnsi="Arial;sans-serif"/>
                  <w:b w:val="false"/>
                  <w:color w:val="0000FF"/>
                  <w:sz w:val="18"/>
                  <w:u w:val="single"/>
                </w:rPr>
                <w:t>Fair Value Measurements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ab7a45e5f743d395bdea6d3de7ed8e_55">
              <w:r>
                <w:rPr>
                  <w:rStyle w:val="InternetLink"/>
                  <w:rFonts w:ascii="Arial;sans-serif" w:hAnsi="Arial;sans-serif"/>
                  <w:b w:val="false"/>
                  <w:color w:val="0000FF"/>
                  <w:sz w:val="18"/>
                  <w:u w:val="single"/>
                </w:rPr>
                <w:t>15</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604"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fcab7a45e5f743d395bdea6d3de7ed8e_58">
              <w:r>
                <w:rPr>
                  <w:rStyle w:val="InternetLink"/>
                  <w:rFonts w:ascii="Arial;sans-serif" w:hAnsi="Arial;sans-serif"/>
                  <w:b w:val="false"/>
                  <w:color w:val="0000FF"/>
                  <w:sz w:val="18"/>
                  <w:u w:val="single"/>
                </w:rPr>
                <w:t>Income Taxes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ab7a45e5f743d395bdea6d3de7ed8e_58">
              <w:r>
                <w:rPr>
                  <w:rStyle w:val="InternetLink"/>
                  <w:rFonts w:ascii="Arial;sans-serif" w:hAnsi="Arial;sans-serif"/>
                  <w:b w:val="false"/>
                  <w:color w:val="0000FF"/>
                  <w:sz w:val="18"/>
                  <w:u w:val="single"/>
                </w:rPr>
                <w:t>16</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604"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fcab7a45e5f743d395bdea6d3de7ed8e_61">
              <w:r>
                <w:rPr>
                  <w:rStyle w:val="InternetLink"/>
                  <w:rFonts w:ascii="Arial;sans-serif" w:hAnsi="Arial;sans-serif"/>
                  <w:b w:val="false"/>
                  <w:color w:val="0000FF"/>
                  <w:sz w:val="18"/>
                  <w:u w:val="single"/>
                </w:rPr>
                <w:t>Revenue From Contracts With Customers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ab7a45e5f743d395bdea6d3de7ed8e_61">
              <w:r>
                <w:rPr>
                  <w:rStyle w:val="InternetLink"/>
                  <w:rFonts w:ascii="Arial;sans-serif" w:hAnsi="Arial;sans-serif"/>
                  <w:b w:val="false"/>
                  <w:color w:val="0000FF"/>
                  <w:sz w:val="18"/>
                  <w:u w:val="single"/>
                </w:rPr>
                <w:t>17</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604"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fcab7a45e5f743d395bdea6d3de7ed8e_64">
              <w:r>
                <w:rPr>
                  <w:rStyle w:val="InternetLink"/>
                  <w:rFonts w:ascii="Arial;sans-serif" w:hAnsi="Arial;sans-serif"/>
                  <w:b w:val="false"/>
                  <w:color w:val="0000FF"/>
                  <w:sz w:val="18"/>
                  <w:u w:val="single"/>
                </w:rPr>
                <w:t>Earnings Per Share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ab7a45e5f743d395bdea6d3de7ed8e_64">
              <w:r>
                <w:rPr>
                  <w:rStyle w:val="InternetLink"/>
                  <w:rFonts w:ascii="Arial;sans-serif" w:hAnsi="Arial;sans-serif"/>
                  <w:b w:val="false"/>
                  <w:color w:val="0000FF"/>
                  <w:sz w:val="18"/>
                  <w:u w:val="single"/>
                </w:rPr>
                <w:t>18</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604"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fcab7a45e5f743d395bdea6d3de7ed8e_67">
              <w:r>
                <w:rPr>
                  <w:rStyle w:val="InternetLink"/>
                  <w:rFonts w:ascii="Arial;sans-serif" w:hAnsi="Arial;sans-serif"/>
                  <w:b w:val="false"/>
                  <w:color w:val="0000FF"/>
                  <w:sz w:val="18"/>
                  <w:u w:val="single"/>
                </w:rPr>
                <w:t>Pension Plans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ab7a45e5f743d395bdea6d3de7ed8e_67">
              <w:r>
                <w:rPr>
                  <w:rStyle w:val="InternetLink"/>
                  <w:rFonts w:ascii="Arial;sans-serif" w:hAnsi="Arial;sans-serif"/>
                  <w:b w:val="false"/>
                  <w:color w:val="0000FF"/>
                  <w:sz w:val="18"/>
                  <w:u w:val="single"/>
                </w:rPr>
                <w:t>19</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604"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fcab7a45e5f743d395bdea6d3de7ed8e_70">
              <w:r>
                <w:rPr>
                  <w:rStyle w:val="InternetLink"/>
                  <w:rFonts w:ascii="Arial;sans-serif" w:hAnsi="Arial;sans-serif"/>
                  <w:b w:val="false"/>
                  <w:color w:val="0000FF"/>
                  <w:sz w:val="18"/>
                  <w:u w:val="single"/>
                </w:rPr>
                <w:t>Other Non-Operating Expense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ab7a45e5f743d395bdea6d3de7ed8e_70">
              <w:r>
                <w:rPr>
                  <w:rStyle w:val="InternetLink"/>
                  <w:rFonts w:ascii="Arial;sans-serif" w:hAnsi="Arial;sans-serif"/>
                  <w:b w:val="false"/>
                  <w:color w:val="0000FF"/>
                  <w:sz w:val="18"/>
                  <w:u w:val="single"/>
                </w:rPr>
                <w:t>21</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604"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fcab7a45e5f743d395bdea6d3de7ed8e_73">
              <w:r>
                <w:rPr>
                  <w:rStyle w:val="InternetLink"/>
                  <w:rFonts w:ascii="Arial;sans-serif" w:hAnsi="Arial;sans-serif"/>
                  <w:b w:val="false"/>
                  <w:color w:val="0000FF"/>
                  <w:sz w:val="18"/>
                  <w:u w:val="single"/>
                </w:rPr>
                <w:t>Accumulated Other Comprehensive Income (Loss)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ab7a45e5f743d395bdea6d3de7ed8e_73">
              <w:r>
                <w:rPr>
                  <w:rStyle w:val="InternetLink"/>
                  <w:rFonts w:ascii="Arial;sans-serif" w:hAnsi="Arial;sans-serif"/>
                  <w:b w:val="false"/>
                  <w:color w:val="0000FF"/>
                  <w:sz w:val="18"/>
                  <w:u w:val="single"/>
                </w:rPr>
                <w:t>21</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604"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fcab7a45e5f743d395bdea6d3de7ed8e_76">
              <w:r>
                <w:rPr>
                  <w:rStyle w:val="InternetLink"/>
                  <w:rFonts w:ascii="Arial;sans-serif" w:hAnsi="Arial;sans-serif"/>
                  <w:b w:val="false"/>
                  <w:color w:val="0000FF"/>
                  <w:sz w:val="18"/>
                  <w:u w:val="single"/>
                </w:rPr>
                <w:t>Contingencies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ab7a45e5f743d395bdea6d3de7ed8e_76">
              <w:r>
                <w:rPr>
                  <w:rStyle w:val="InternetLink"/>
                  <w:rFonts w:ascii="Arial;sans-serif" w:hAnsi="Arial;sans-serif"/>
                  <w:b w:val="false"/>
                  <w:color w:val="0000FF"/>
                  <w:sz w:val="18"/>
                  <w:u w:val="single"/>
                </w:rPr>
                <w:t>22</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604"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fcab7a45e5f743d395bdea6d3de7ed8e_79">
              <w:r>
                <w:rPr>
                  <w:rStyle w:val="InternetLink"/>
                  <w:rFonts w:ascii="Arial;sans-serif" w:hAnsi="Arial;sans-serif"/>
                  <w:b w:val="false"/>
                  <w:color w:val="0000FF"/>
                  <w:sz w:val="18"/>
                  <w:u w:val="single"/>
                </w:rPr>
                <w:t>Business Segments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60"/>
              <w:jc w:val="right"/>
              <w:rPr/>
            </w:pPr>
            <w:hyperlink w:anchor="ifcab7a45e5f743d395bdea6d3de7ed8e_79">
              <w:r>
                <w:rPr>
                  <w:rStyle w:val="InternetLink"/>
                  <w:rFonts w:ascii="Arial;sans-serif" w:hAnsi="Arial;sans-serif"/>
                  <w:b w:val="false"/>
                  <w:color w:val="0000FF"/>
                  <w:sz w:val="18"/>
                  <w:u w:val="single"/>
                </w:rPr>
                <w:t>22</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Item 2.</w:t>
            </w:r>
          </w:p>
        </w:tc>
        <w:tc>
          <w:tcPr>
            <w:tcW w:w="7604"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fcab7a45e5f743d395bdea6d3de7ed8e_82">
              <w:r>
                <w:rPr>
                  <w:rStyle w:val="InternetLink"/>
                  <w:rFonts w:ascii="Arial;sans-serif" w:hAnsi="Arial;sans-serif"/>
                  <w:b w:val="false"/>
                  <w:color w:val="0000FF"/>
                  <w:sz w:val="18"/>
                  <w:u w:val="single"/>
                </w:rPr>
                <w:t>Management’s Discussion and Analysis of Results of Operations and Financial Condition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ab7a45e5f743d395bdea6d3de7ed8e_82">
              <w:r>
                <w:rPr>
                  <w:rStyle w:val="InternetLink"/>
                  <w:rFonts w:ascii="Arial;sans-serif" w:hAnsi="Arial;sans-serif"/>
                  <w:b w:val="false"/>
                  <w:color w:val="0000FF"/>
                  <w:sz w:val="18"/>
                  <w:u w:val="single"/>
                </w:rPr>
                <w:t>32</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64" w:before="0" w:after="0"/>
              <w:jc w:val="left"/>
              <w:rPr>
                <w:color w:val="000000"/>
              </w:rPr>
            </w:pPr>
            <w:r>
              <w:rPr>
                <w:color w:val="000000"/>
              </w:rPr>
              <w:t> </w:t>
            </w:r>
          </w:p>
        </w:tc>
        <w:tc>
          <w:tcPr>
            <w:tcW w:w="7604" w:type="dxa"/>
            <w:gridSpan w:val="3"/>
            <w:tcBorders/>
            <w:tcMar>
              <w:top w:w="0" w:type="dxa"/>
              <w:left w:w="0" w:type="dxa"/>
              <w:bottom w:w="0" w:type="dxa"/>
              <w:right w:w="0" w:type="dxa"/>
            </w:tcMar>
            <w:vAlign w:val="center"/>
          </w:tcPr>
          <w:p>
            <w:pPr>
              <w:pStyle w:val="TableContents"/>
              <w:bidi w:val="0"/>
              <w:spacing w:lineRule="auto" w:line="264" w:before="0" w:after="0"/>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64" w:before="0" w:after="0"/>
              <w:jc w:val="right"/>
              <w:rPr>
                <w:color w:val="000000"/>
              </w:rPr>
            </w:pPr>
            <w:r>
              <w:rPr>
                <w:color w:val="000000"/>
              </w:rPr>
              <w:t> </w:t>
            </w:r>
          </w:p>
        </w:tc>
      </w:tr>
      <w:tr>
        <w:trPr/>
        <w:tc>
          <w:tcPr>
            <w:tcW w:w="1538"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Item 3.</w:t>
            </w:r>
          </w:p>
        </w:tc>
        <w:tc>
          <w:tcPr>
            <w:tcW w:w="7604"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fcab7a45e5f743d395bdea6d3de7ed8e_145">
              <w:r>
                <w:rPr>
                  <w:rStyle w:val="InternetLink"/>
                  <w:rFonts w:ascii="Arial;sans-serif" w:hAnsi="Arial;sans-serif"/>
                  <w:b w:val="false"/>
                  <w:color w:val="0000FF"/>
                  <w:sz w:val="18"/>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ab7a45e5f743d395bdea6d3de7ed8e_145">
              <w:r>
                <w:rPr>
                  <w:rStyle w:val="InternetLink"/>
                  <w:rFonts w:ascii="Arial;sans-serif" w:hAnsi="Arial;sans-serif"/>
                  <w:b w:val="false"/>
                  <w:color w:val="0000FF"/>
                  <w:sz w:val="18"/>
                  <w:u w:val="single"/>
                </w:rPr>
                <w:t>44</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64" w:before="0" w:after="0"/>
              <w:jc w:val="left"/>
              <w:rPr>
                <w:color w:val="000000"/>
              </w:rPr>
            </w:pPr>
            <w:r>
              <w:rPr>
                <w:color w:val="000000"/>
              </w:rPr>
              <w:t> </w:t>
            </w:r>
          </w:p>
        </w:tc>
        <w:tc>
          <w:tcPr>
            <w:tcW w:w="7604" w:type="dxa"/>
            <w:gridSpan w:val="3"/>
            <w:tcBorders/>
            <w:tcMar>
              <w:top w:w="0" w:type="dxa"/>
              <w:left w:w="0" w:type="dxa"/>
              <w:bottom w:w="0" w:type="dxa"/>
              <w:right w:w="0" w:type="dxa"/>
            </w:tcMar>
            <w:vAlign w:val="center"/>
          </w:tcPr>
          <w:p>
            <w:pPr>
              <w:pStyle w:val="TableContents"/>
              <w:bidi w:val="0"/>
              <w:spacing w:lineRule="auto" w:line="264" w:before="0" w:after="0"/>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64" w:before="0" w:after="0"/>
              <w:jc w:val="right"/>
              <w:rPr>
                <w:color w:val="000000"/>
              </w:rPr>
            </w:pPr>
            <w:r>
              <w:rPr>
                <w:color w:val="000000"/>
              </w:rPr>
              <w:t> </w:t>
            </w:r>
          </w:p>
        </w:tc>
      </w:tr>
      <w:tr>
        <w:trPr/>
        <w:tc>
          <w:tcPr>
            <w:tcW w:w="1538"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Item 4.</w:t>
            </w:r>
          </w:p>
        </w:tc>
        <w:tc>
          <w:tcPr>
            <w:tcW w:w="7604"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fcab7a45e5f743d395bdea6d3de7ed8e_148">
              <w:r>
                <w:rPr>
                  <w:rStyle w:val="InternetLink"/>
                  <w:rFonts w:ascii="Arial;sans-serif" w:hAnsi="Arial;sans-serif"/>
                  <w:b w:val="false"/>
                  <w:color w:val="0000FF"/>
                  <w:sz w:val="18"/>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ab7a45e5f743d395bdea6d3de7ed8e_148">
              <w:r>
                <w:rPr>
                  <w:rStyle w:val="InternetLink"/>
                  <w:rFonts w:ascii="Arial;sans-serif" w:hAnsi="Arial;sans-serif"/>
                  <w:b w:val="false"/>
                  <w:color w:val="0000FF"/>
                  <w:sz w:val="18"/>
                  <w:u w:val="single"/>
                </w:rPr>
                <w:t>44</w:t>
              </w:r>
            </w:hyperlink>
          </w:p>
        </w:tc>
      </w:tr>
      <w:tr>
        <w:trPr/>
        <w:tc>
          <w:tcPr>
            <w:tcW w:w="9142" w:type="dxa"/>
            <w:gridSpan w:val="6"/>
            <w:tcBorders/>
            <w:tcMar>
              <w:top w:w="0" w:type="dxa"/>
              <w:left w:w="0" w:type="dxa"/>
              <w:bottom w:w="0" w:type="dxa"/>
              <w:right w:w="0" w:type="dxa"/>
            </w:tcMar>
            <w:vAlign w:val="center"/>
          </w:tcPr>
          <w:p>
            <w:pPr>
              <w:pStyle w:val="TableContents"/>
              <w:bidi w:val="0"/>
              <w:spacing w:lineRule="auto" w:line="264" w:before="0" w:after="0"/>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64" w:before="0" w:after="0"/>
              <w:jc w:val="right"/>
              <w:rPr>
                <w:color w:val="000000"/>
              </w:rPr>
            </w:pPr>
            <w:r>
              <w:rPr>
                <w:color w:val="000000"/>
              </w:rPr>
              <w:t> </w:t>
            </w:r>
          </w:p>
        </w:tc>
      </w:tr>
      <w:tr>
        <w:trPr/>
        <w:tc>
          <w:tcPr>
            <w:tcW w:w="9142" w:type="dxa"/>
            <w:gridSpan w:val="6"/>
            <w:tcBorders/>
            <w:tcMar>
              <w:top w:w="0" w:type="dxa"/>
              <w:left w:w="0" w:type="dxa"/>
              <w:bottom w:w="0" w:type="dxa"/>
              <w:right w:w="0" w:type="dxa"/>
            </w:tcMar>
            <w:vAlign w:val="center"/>
          </w:tcPr>
          <w:p>
            <w:pPr>
              <w:pStyle w:val="TableContents"/>
              <w:bidi w:val="0"/>
              <w:spacing w:lineRule="auto" w:line="264" w:before="0" w:after="0"/>
              <w:jc w:val="left"/>
              <w:rPr/>
            </w:pPr>
            <w:hyperlink w:anchor="ifcab7a45e5f743d395bdea6d3de7ed8e_151">
              <w:r>
                <w:rPr>
                  <w:rStyle w:val="InternetLink"/>
                  <w:rFonts w:ascii="Arial;sans-serif" w:hAnsi="Arial;sans-serif"/>
                  <w:b w:val="false"/>
                  <w:color w:val="0000FF"/>
                  <w:sz w:val="18"/>
                  <w:u w:val="single"/>
                </w:rPr>
                <w:t>PART II.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64" w:before="0" w:after="0"/>
              <w:jc w:val="right"/>
              <w:rPr>
                <w:color w:val="000000"/>
              </w:rPr>
            </w:pPr>
            <w:r>
              <w:rPr>
                <w:color w:val="000000"/>
              </w:rPr>
              <w:t> </w:t>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Item 2.</w:t>
            </w:r>
          </w:p>
        </w:tc>
        <w:tc>
          <w:tcPr>
            <w:tcW w:w="7604"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fcab7a45e5f743d395bdea6d3de7ed8e_157">
              <w:r>
                <w:rPr>
                  <w:rStyle w:val="InternetLink"/>
                  <w:rFonts w:ascii="Arial;sans-serif" w:hAnsi="Arial;sans-serif"/>
                  <w:b w:val="false"/>
                  <w:color w:val="0000FF"/>
                  <w:sz w:val="18"/>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ab7a45e5f743d395bdea6d3de7ed8e_157">
              <w:r>
                <w:rPr>
                  <w:rStyle w:val="InternetLink"/>
                  <w:rFonts w:ascii="Arial;sans-serif" w:hAnsi="Arial;sans-serif"/>
                  <w:b w:val="false"/>
                  <w:color w:val="0000FF"/>
                  <w:sz w:val="18"/>
                  <w:u w:val="single"/>
                </w:rPr>
                <w:t>46</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 xml:space="preserve">Item 5. </w:t>
            </w:r>
          </w:p>
        </w:tc>
        <w:tc>
          <w:tcPr>
            <w:tcW w:w="7604"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fcab7a45e5f743d395bdea6d3de7ed8e_160">
              <w:r>
                <w:rPr>
                  <w:rStyle w:val="InternetLink"/>
                  <w:rFonts w:ascii="Arial;sans-serif" w:hAnsi="Arial;sans-serif"/>
                  <w:b w:val="false"/>
                  <w:color w:val="0000FF"/>
                  <w:sz w:val="18"/>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ab7a45e5f743d395bdea6d3de7ed8e_160">
              <w:r>
                <w:rPr>
                  <w:rStyle w:val="InternetLink"/>
                  <w:rFonts w:ascii="Arial;sans-serif" w:hAnsi="Arial;sans-serif"/>
                  <w:b w:val="false"/>
                  <w:color w:val="0000FF"/>
                  <w:sz w:val="18"/>
                  <w:u w:val="single"/>
                </w:rPr>
                <w:t>46</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Item 6.</w:t>
            </w:r>
          </w:p>
        </w:tc>
        <w:tc>
          <w:tcPr>
            <w:tcW w:w="7604"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fcab7a45e5f743d395bdea6d3de7ed8e_166">
              <w:r>
                <w:rPr>
                  <w:rStyle w:val="InternetLink"/>
                  <w:rFonts w:ascii="Arial;sans-serif" w:hAnsi="Arial;sans-serif"/>
                  <w:b w:val="false"/>
                  <w:color w:val="0000FF"/>
                  <w:sz w:val="18"/>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ab7a45e5f743d395bdea6d3de7ed8e_166">
              <w:r>
                <w:rPr>
                  <w:rStyle w:val="InternetLink"/>
                  <w:rFonts w:ascii="Arial;sans-serif" w:hAnsi="Arial;sans-serif"/>
                  <w:b w:val="false"/>
                  <w:color w:val="0000FF"/>
                  <w:sz w:val="18"/>
                  <w:u w:val="single"/>
                </w:rPr>
                <w:t>47</w:t>
              </w:r>
            </w:hyperlink>
          </w:p>
        </w:tc>
      </w:tr>
      <w:tr>
        <w:trPr/>
        <w:tc>
          <w:tcPr>
            <w:tcW w:w="9142" w:type="dxa"/>
            <w:gridSpan w:val="6"/>
            <w:tcBorders/>
            <w:tcMar>
              <w:top w:w="0" w:type="dxa"/>
              <w:left w:w="0" w:type="dxa"/>
              <w:bottom w:w="0" w:type="dxa"/>
              <w:right w:w="0" w:type="dxa"/>
            </w:tcMar>
            <w:vAlign w:val="center"/>
          </w:tcPr>
          <w:p>
            <w:pPr>
              <w:pStyle w:val="TableContents"/>
              <w:bidi w:val="0"/>
              <w:spacing w:lineRule="auto" w:line="264" w:before="0" w:after="0"/>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64" w:before="0" w:after="0"/>
              <w:jc w:val="right"/>
              <w:rPr>
                <w:color w:val="000000"/>
              </w:rPr>
            </w:pPr>
            <w:r>
              <w:rPr>
                <w:color w:val="000000"/>
              </w:rPr>
              <w:t> </w:t>
            </w:r>
          </w:p>
        </w:tc>
      </w:tr>
      <w:tr>
        <w:trPr/>
        <w:tc>
          <w:tcPr>
            <w:tcW w:w="9142" w:type="dxa"/>
            <w:gridSpan w:val="6"/>
            <w:tcBorders/>
            <w:tcMar>
              <w:top w:w="0" w:type="dxa"/>
              <w:left w:w="0" w:type="dxa"/>
              <w:bottom w:w="0" w:type="dxa"/>
              <w:right w:w="0" w:type="dxa"/>
            </w:tcMar>
            <w:vAlign w:val="center"/>
          </w:tcPr>
          <w:p>
            <w:pPr>
              <w:pStyle w:val="TableContents"/>
              <w:bidi w:val="0"/>
              <w:spacing w:lineRule="auto" w:line="264" w:before="0" w:after="0"/>
              <w:jc w:val="left"/>
              <w:rPr/>
            </w:pPr>
            <w:hyperlink w:anchor="ifcab7a45e5f743d395bdea6d3de7ed8e_169">
              <w:r>
                <w:rPr>
                  <w:rStyle w:val="InternetLink"/>
                  <w:rFonts w:ascii="Arial;sans-serif" w:hAnsi="Arial;sans-serif"/>
                  <w:b w:val="false"/>
                  <w:color w:val="0000FF"/>
                  <w:sz w:val="18"/>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ab7a45e5f743d395bdea6d3de7ed8e_169">
              <w:r>
                <w:rPr>
                  <w:rStyle w:val="InternetLink"/>
                  <w:rFonts w:ascii="Arial;sans-serif" w:hAnsi="Arial;sans-serif"/>
                  <w:b w:val="false"/>
                  <w:color w:val="0000FF"/>
                  <w:sz w:val="18"/>
                  <w:u w:val="single"/>
                </w:rPr>
                <w:t>48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180"/>
        <w:jc w:val="center"/>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GRAHAM HOLDINGS COMPANY</w:t>
      </w:r>
    </w:p>
    <w:p>
      <w:pPr>
        <w:pStyle w:val="TextBody"/>
        <w:bidi w:val="0"/>
        <w:spacing w:lineRule="auto" w:line="264" w:before="0" w:after="180"/>
        <w:jc w:val="center"/>
        <w:rPr>
          <w:rFonts w:ascii="Arial;sans-serif" w:hAnsi="Arial;sans-serif"/>
          <w:b/>
          <w:color w:val="000000"/>
          <w:sz w:val="20"/>
        </w:rPr>
      </w:pPr>
      <w:r>
        <w:rPr>
          <w:rFonts w:ascii="Arial;sans-serif" w:hAnsi="Arial;sans-serif"/>
          <w:b/>
          <w:color w:val="000000"/>
          <w:sz w:val="20"/>
        </w:rPr>
        <w:t xml:space="preserve">CONDENSED CONSOLIDATED STATEMENTS OF OPERATIONS (UNAUDITED) </w:t>
      </w:r>
    </w:p>
    <w:tbl>
      <w:tblPr>
        <w:tblW w:w="10205" w:type="dxa"/>
        <w:jc w:val="center"/>
        <w:tblInd w:w="0" w:type="dxa"/>
        <w:tblLayout w:type="fixed"/>
        <w:tblCellMar>
          <w:top w:w="28" w:type="dxa"/>
          <w:left w:w="28" w:type="dxa"/>
          <w:bottom w:w="28" w:type="dxa"/>
          <w:right w:w="28" w:type="dxa"/>
        </w:tblCellMar>
      </w:tblPr>
      <w:tblGrid>
        <w:gridCol w:w="1693"/>
        <w:gridCol w:w="1281"/>
        <w:gridCol w:w="1290"/>
        <w:gridCol w:w="211"/>
        <w:gridCol w:w="841"/>
        <w:gridCol w:w="109"/>
        <w:gridCol w:w="109"/>
        <w:gridCol w:w="109"/>
        <w:gridCol w:w="109"/>
        <w:gridCol w:w="211"/>
        <w:gridCol w:w="826"/>
        <w:gridCol w:w="109"/>
        <w:gridCol w:w="109"/>
        <w:gridCol w:w="109"/>
        <w:gridCol w:w="109"/>
        <w:gridCol w:w="211"/>
        <w:gridCol w:w="991"/>
        <w:gridCol w:w="109"/>
        <w:gridCol w:w="109"/>
        <w:gridCol w:w="109"/>
        <w:gridCol w:w="109"/>
        <w:gridCol w:w="211"/>
        <w:gridCol w:w="976"/>
        <w:gridCol w:w="155"/>
      </w:tblGrid>
      <w:tr>
        <w:trPr/>
        <w:tc>
          <w:tcPr>
            <w:tcW w:w="169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2634" w:type="dxa"/>
            <w:gridSpan w:val="9"/>
            <w:vMerge w:val="restart"/>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9"/>
            <w:vMerge w:val="restart"/>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Six Months Ended </w:t>
              <w:br/>
              <w:t> June 30</w:t>
            </w:r>
          </w:p>
        </w:tc>
      </w:tr>
      <w:tr>
        <w:trPr/>
        <w:tc>
          <w:tcPr>
            <w:tcW w:w="426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2634"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426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 except per share amounts)</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4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Operating Revenues</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Sales of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664,565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668,627 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1,338,364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1,316,134 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Sales of goods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637,941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547,145 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1,200,134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1,065,553 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1,302,506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1,215,772 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2,538,498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2,381,687 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Operating Costs and Expenses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426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Cost of services sold (exclusive of items shown below)</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384,996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389,316 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779,989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775,452 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Cost of goods sold (exclusive of items shown below)</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525,479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450,122 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987,686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883,344 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284,138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276,690 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561,619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547,396 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Depreciation of property, plant and equipment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18,281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19,652 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36,675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40,206 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5,978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7,241 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12,033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15,065 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Impairment of goodwill and asset group held for sale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19,029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1,218,872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1,143,021 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2,397,031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2,261,463 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4"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color w:val="000000"/>
                <w:sz w:val="18"/>
                <w:shd w:fill="FFFFFF" w:val="clear"/>
              </w:rPr>
              <w:t>Income fr</w:t>
            </w:r>
            <w:r>
              <w:rPr>
                <w:rFonts w:ascii="Arial;sans-serif" w:hAnsi="Arial;sans-serif"/>
                <w:b/>
                <w:color w:val="000000"/>
                <w:sz w:val="18"/>
              </w:rPr>
              <w:t>om Operations</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83,634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72,751 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141,467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120,224 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4"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8"/>
              </w:rPr>
              <w:t>Equity i</w:t>
            </w:r>
            <w:r>
              <w:rPr>
                <w:rFonts w:ascii="Arial;sans-serif" w:hAnsi="Arial;sans-serif"/>
                <w:b w:val="false"/>
                <w:color w:val="000000"/>
                <w:sz w:val="18"/>
                <w:shd w:fill="FFFFFF" w:val="clear"/>
              </w:rPr>
              <w:t>n (losses) earnings of affiliates,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(19,863)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3,114 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14,987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(5,314)</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1,881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2,261 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4,356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4,761 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(17,173)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(18,106)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(33,402)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(100,383)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Non-operating pension and postretirement benefit income,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169,649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28,602 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200,722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63,219 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4"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8"/>
                <w:shd w:fill="FFFFFF" w:val="clear"/>
              </w:rPr>
              <w:t>Gain (loss) o</w:t>
            </w:r>
            <w:r>
              <w:rPr>
                <w:rFonts w:ascii="Arial;sans-serif" w:hAnsi="Arial;sans-serif"/>
                <w:b w:val="false"/>
                <w:color w:val="000000"/>
                <w:sz w:val="18"/>
              </w:rPr>
              <w:t>n marketable equity securities,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101,879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(11,543)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32,956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32,258 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(16,456)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(20,521)</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4"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color w:val="000000"/>
                <w:sz w:val="18"/>
                <w:shd w:fill="FFFFFF" w:val="clear"/>
              </w:rPr>
              <w:t>Income Be</w:t>
            </w:r>
            <w:r>
              <w:rPr>
                <w:rFonts w:ascii="Arial;sans-serif" w:hAnsi="Arial;sans-serif"/>
                <w:b/>
                <w:color w:val="000000"/>
                <w:sz w:val="18"/>
              </w:rPr>
              <w:t>fore Income Taxes</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317,476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60,623 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358,127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94,244 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4"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color w:val="000000"/>
                <w:sz w:val="18"/>
              </w:rPr>
            </w:pPr>
            <w:r>
              <w:rPr>
                <w:rFonts w:ascii="Arial;sans-serif" w:hAnsi="Arial;sans-serif"/>
                <w:b/>
                <w:color w:val="000000"/>
                <w:sz w:val="18"/>
              </w:rPr>
              <w:t>Provision for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35,100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20,200 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45,000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28,100 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4"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color w:val="000000"/>
                <w:sz w:val="18"/>
              </w:rPr>
              <w:t>Ne</w:t>
            </w:r>
            <w:r>
              <w:rPr>
                <w:rFonts w:ascii="Arial;sans-serif" w:hAnsi="Arial;sans-serif"/>
                <w:b/>
                <w:color w:val="000000"/>
                <w:sz w:val="18"/>
                <w:shd w:fill="FFFFFF" w:val="clear"/>
              </w:rPr>
              <w:t>t Income</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282,376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40,423 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313,127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66,144 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Net Income Attributable to Noncontrolling Interests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(3,674)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(5,501)</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4" w:type="dxa"/>
            <w:gridSpan w:val="3"/>
            <w:tcBorders/>
            <w:tcMar>
              <w:top w:w="0" w:type="dxa"/>
              <w:left w:w="0" w:type="dxa"/>
              <w:bottom w:w="0" w:type="dxa"/>
              <w:right w:w="0" w:type="dxa"/>
            </w:tcMar>
            <w:vAlign w:val="center"/>
          </w:tcPr>
          <w:p>
            <w:pPr>
              <w:pStyle w:val="TableContents"/>
              <w:bidi w:val="0"/>
              <w:spacing w:lineRule="auto" w:line="264" w:before="0" w:after="0"/>
              <w:ind w:left="0" w:right="0" w:hanging="180"/>
              <w:jc w:val="left"/>
              <w:rPr/>
            </w:pPr>
            <w:r>
              <w:rPr>
                <w:rFonts w:ascii="Arial;sans-serif" w:hAnsi="Arial;sans-serif"/>
                <w:b/>
                <w:color w:val="000000"/>
                <w:sz w:val="18"/>
              </w:rPr>
              <w:t xml:space="preserve">Net </w:t>
            </w:r>
            <w:r>
              <w:rPr>
                <w:rFonts w:ascii="Arial;sans-serif" w:hAnsi="Arial;sans-serif"/>
                <w:b/>
                <w:color w:val="000000"/>
                <w:sz w:val="18"/>
                <w:shd w:fill="FFFFFF" w:val="clear"/>
              </w:rPr>
              <w:t xml:space="preserve">Income </w:t>
            </w:r>
            <w:r>
              <w:rPr>
                <w:rFonts w:ascii="Arial;sans-serif" w:hAnsi="Arial;sans-serif"/>
                <w:b/>
                <w:color w:val="000000"/>
                <w:sz w:val="18"/>
              </w:rPr>
              <w:t>Attributable to Graham Holdings Company Common Stockholders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281,103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36,749 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310,209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60,643 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4" w:type="dxa"/>
            <w:gridSpan w:val="3"/>
            <w:tcBorders/>
            <w:tcMar>
              <w:top w:w="0" w:type="dxa"/>
              <w:left w:w="0" w:type="dxa"/>
              <w:bottom w:w="0" w:type="dxa"/>
              <w:right w:w="0" w:type="dxa"/>
            </w:tcMar>
            <w:vAlign w:val="center"/>
          </w:tcPr>
          <w:p>
            <w:pPr>
              <w:pStyle w:val="TableContents"/>
              <w:bidi w:val="0"/>
              <w:spacing w:lineRule="auto" w:line="264" w:before="0" w:after="0"/>
              <w:ind w:left="0" w:right="0" w:hanging="180"/>
              <w:jc w:val="left"/>
              <w:rPr>
                <w:rFonts w:ascii="Arial;sans-serif" w:hAnsi="Arial;sans-serif"/>
                <w:b/>
                <w:color w:val="000000"/>
                <w:sz w:val="18"/>
              </w:rPr>
            </w:pPr>
            <w:r>
              <w:rPr>
                <w:rFonts w:ascii="Arial;sans-serif" w:hAnsi="Arial;sans-serif"/>
                <w:b/>
                <w:color w:val="000000"/>
                <w:sz w:val="18"/>
              </w:rPr>
              <w:t>Per Share Information Attributable to Graham Holdings Company Common Stockholders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r>
      <w:tr>
        <w:trPr/>
        <w:tc>
          <w:tcPr>
            <w:tcW w:w="4264"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8"/>
              </w:rPr>
              <w:t>Basic ne</w:t>
            </w:r>
            <w:r>
              <w:rPr>
                <w:rFonts w:ascii="Arial;sans-serif" w:hAnsi="Arial;sans-serif"/>
                <w:b w:val="false"/>
                <w:color w:val="000000"/>
                <w:sz w:val="18"/>
                <w:shd w:fill="FFFFFF" w:val="clear"/>
              </w:rPr>
              <w:t>t income p</w:t>
            </w:r>
            <w:r>
              <w:rPr>
                <w:rFonts w:ascii="Arial;sans-serif" w:hAnsi="Arial;sans-serif"/>
                <w:b w:val="false"/>
                <w:color w:val="000000"/>
                <w:sz w:val="18"/>
              </w:rPr>
              <w:t>er common share</w:t>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65.53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71.76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13.93 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Basic average number of common shares outstanding</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4,265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4,298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4,327 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4"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8"/>
              </w:rPr>
              <w:t xml:space="preserve">Diluted net income </w:t>
            </w:r>
            <w:r>
              <w:rPr>
                <w:rFonts w:ascii="Arial;sans-serif" w:hAnsi="Arial;sans-serif"/>
                <w:b w:val="false"/>
                <w:color w:val="000000"/>
                <w:sz w:val="18"/>
                <w:shd w:fill="FFFFFF" w:val="clear"/>
              </w:rPr>
              <w:t>p</w:t>
            </w:r>
            <w:r>
              <w:rPr>
                <w:rFonts w:ascii="Arial;sans-serif" w:hAnsi="Arial;sans-serif"/>
                <w:b w:val="false"/>
                <w:color w:val="000000"/>
                <w:sz w:val="18"/>
              </w:rPr>
              <w:t>er common share</w:t>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64.86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71.04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13.81 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Diluted average number of common shares outstanding</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4,309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4,373 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4,342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4,366 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left"/>
        <w:rPr>
          <w:rFonts w:ascii="Arial;sans-serif" w:hAnsi="Arial;sans-serif"/>
          <w:b w:val="false"/>
          <w:color w:val="000000"/>
          <w:sz w:val="16"/>
        </w:rPr>
      </w:pPr>
      <w:r>
        <w:rPr>
          <w:rFonts w:ascii="Arial;sans-serif" w:hAnsi="Arial;sans-serif"/>
          <w:b w:val="false"/>
          <w:color w:val="000000"/>
          <w:sz w:val="16"/>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GRAHAM HOLDINGS COMPANY</w: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CONDENSED CONSOLIDATED STATEMENTS OF COMPREHENSIVE INCOME (UNAUDITED)</w:t>
      </w:r>
    </w:p>
    <w:tbl>
      <w:tblPr>
        <w:tblW w:w="10205" w:type="dxa"/>
        <w:jc w:val="center"/>
        <w:tblInd w:w="0" w:type="dxa"/>
        <w:tblLayout w:type="fixed"/>
        <w:tblCellMar>
          <w:top w:w="28" w:type="dxa"/>
          <w:left w:w="28" w:type="dxa"/>
          <w:bottom w:w="28" w:type="dxa"/>
          <w:right w:w="28" w:type="dxa"/>
        </w:tblCellMar>
      </w:tblPr>
      <w:tblGrid>
        <w:gridCol w:w="1690"/>
        <w:gridCol w:w="1483"/>
        <w:gridCol w:w="1495"/>
        <w:gridCol w:w="211"/>
        <w:gridCol w:w="841"/>
        <w:gridCol w:w="109"/>
        <w:gridCol w:w="109"/>
        <w:gridCol w:w="109"/>
        <w:gridCol w:w="109"/>
        <w:gridCol w:w="211"/>
        <w:gridCol w:w="721"/>
        <w:gridCol w:w="109"/>
        <w:gridCol w:w="109"/>
        <w:gridCol w:w="109"/>
        <w:gridCol w:w="109"/>
        <w:gridCol w:w="211"/>
        <w:gridCol w:w="841"/>
        <w:gridCol w:w="109"/>
        <w:gridCol w:w="109"/>
        <w:gridCol w:w="109"/>
        <w:gridCol w:w="109"/>
        <w:gridCol w:w="211"/>
        <w:gridCol w:w="826"/>
        <w:gridCol w:w="156"/>
      </w:tblGrid>
      <w:tr>
        <w:trPr/>
        <w:tc>
          <w:tcPr>
            <w:tcW w:w="1690"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68"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2529"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Six Months Ended </w:t>
              <w:br/>
              <w:t> June 30</w:t>
            </w:r>
          </w:p>
        </w:tc>
      </w:tr>
      <w:tr>
        <w:trPr/>
        <w:tc>
          <w:tcPr>
            <w:tcW w:w="466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46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Net Income</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282,376</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40,423 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313,127</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66,144 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Other Comprehensive (Loss) Income, Before Tax</w:t>
            </w:r>
          </w:p>
        </w:tc>
        <w:tc>
          <w:tcPr>
            <w:tcW w:w="1161"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466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1161"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466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Translation adjustments arising during the period</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32,283 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(6,123)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46,550 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Adjustment for sales of businesses with foreign operations</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6,175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6,175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646 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6,300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32,929 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47,196 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Pension and other postretirement plans:</w:t>
            </w:r>
          </w:p>
        </w:tc>
        <w:tc>
          <w:tcPr>
            <w:tcW w:w="1161"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64" w:before="0" w:after="283"/>
              <w:ind w:left="0" w:right="0" w:hanging="180"/>
              <w:jc w:val="left"/>
              <w:rPr>
                <w:color w:val="000000"/>
              </w:rPr>
            </w:pPr>
            <w:r>
              <w:rPr>
                <w:color w:val="000000"/>
              </w:rPr>
              <w:t>  </w:t>
            </w:r>
          </w:p>
        </w:tc>
      </w:tr>
      <w:tr>
        <w:trPr/>
        <w:tc>
          <w:tcPr>
            <w:tcW w:w="466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Actuarial loss</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(89,928)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(89,928)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Amortization of net prior service credit included in net income</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(497)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(993)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(1,040)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tcMar>
              <w:top w:w="0" w:type="dxa"/>
              <w:left w:w="0" w:type="dxa"/>
              <w:bottom w:w="0" w:type="dxa"/>
              <w:right w:w="0" w:type="dxa"/>
            </w:tcMar>
            <w:vAlign w:val="center"/>
          </w:tcPr>
          <w:p>
            <w:pPr>
              <w:pStyle w:val="TableContents"/>
              <w:bidi w:val="0"/>
              <w:spacing w:lineRule="auto" w:line="264" w:before="0" w:after="0"/>
              <w:ind w:left="0" w:right="0" w:hanging="180"/>
              <w:jc w:val="left"/>
              <w:rPr>
                <w:rFonts w:ascii="Arial;sans-serif" w:hAnsi="Arial;sans-serif"/>
                <w:b w:val="false"/>
                <w:color w:val="000000"/>
                <w:sz w:val="18"/>
              </w:rPr>
            </w:pPr>
            <w:r>
              <w:rPr>
                <w:rFonts w:ascii="Arial;sans-serif" w:hAnsi="Arial;sans-serif"/>
                <w:b w:val="false"/>
                <w:color w:val="000000"/>
                <w:sz w:val="18"/>
              </w:rPr>
              <w:t>Amortization of net actuarial gain included in net income</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(516)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(759)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Settlement gain included in net income</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(136,955)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(136,955)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(227,638)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(901)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(228,392)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(1,799)</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Cash flow hedges gain (loss)</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640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1,266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(1,043)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Other Comprehensive (Loss) Income, Before Tax</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(220,698)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31,664 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(227,074)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44,354 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Income tax benefit related to items of other comprehensive (loss) income</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59,049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59,083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732 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Other Comprehensive (Loss) Income, Net of Tax</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(161,649)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31,990 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(167,991)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45,086 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Comprehensive Income</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120,727</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72,413 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145,136</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111,230 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tcMar>
              <w:top w:w="0" w:type="dxa"/>
              <w:left w:w="0" w:type="dxa"/>
              <w:bottom w:w="0" w:type="dxa"/>
              <w:right w:w="0" w:type="dxa"/>
            </w:tcMar>
            <w:vAlign w:val="center"/>
          </w:tcPr>
          <w:p>
            <w:pPr>
              <w:pStyle w:val="TableContents"/>
              <w:bidi w:val="0"/>
              <w:spacing w:lineRule="auto" w:line="264" w:before="0" w:after="0"/>
              <w:ind w:left="0" w:right="0" w:hanging="180"/>
              <w:jc w:val="left"/>
              <w:rPr>
                <w:rFonts w:ascii="Arial;sans-serif" w:hAnsi="Arial;sans-serif"/>
                <w:b w:val="false"/>
                <w:color w:val="000000"/>
                <w:sz w:val="18"/>
              </w:rPr>
            </w:pPr>
            <w:r>
              <w:rPr>
                <w:rFonts w:ascii="Arial;sans-serif" w:hAnsi="Arial;sans-serif"/>
                <w:b w:val="false"/>
                <w:color w:val="000000"/>
                <w:sz w:val="18"/>
              </w:rPr>
              <w:t>Comprehensive income attributable to noncontrolling interests</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(1,273)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(3,674)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(2,918)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(5,501)</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Total Comprehensive Income Attributable to Graham Holdings Company</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119,454</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68,739 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142,218</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105,729 </w:t>
            </w:r>
          </w:p>
        </w:tc>
        <w:tc>
          <w:tcPr>
            <w:tcW w:w="1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0"/>
        <w:jc w:val="center"/>
        <w:rPr>
          <w:rFonts w:ascii="Arial;sans-serif" w:hAnsi="Arial;sans-serif"/>
          <w:b/>
          <w:color w:val="000000"/>
          <w:sz w:val="20"/>
        </w:rPr>
      </w:pPr>
      <w:r>
        <w:rPr>
          <w:rFonts w:ascii="Arial;sans-serif" w:hAnsi="Arial;sans-serif"/>
          <w:b/>
          <w:color w:val="000000"/>
          <w:sz w:val="20"/>
        </w:rPr>
        <w:t>GRAHAM HOLDINGS COMPANY</w:t>
      </w:r>
    </w:p>
    <w:p>
      <w:pPr>
        <w:pStyle w:val="TextBody"/>
        <w:bidi w:val="0"/>
        <w:spacing w:lineRule="auto" w:line="264" w:before="0" w:after="120"/>
        <w:jc w:val="center"/>
        <w:rPr>
          <w:rFonts w:ascii="Arial;sans-serif" w:hAnsi="Arial;sans-serif"/>
          <w:b/>
          <w:color w:val="000000"/>
          <w:sz w:val="20"/>
        </w:rPr>
      </w:pPr>
      <w:r>
        <w:rPr>
          <w:rFonts w:ascii="Arial;sans-serif" w:hAnsi="Arial;sans-serif"/>
          <w:b/>
          <w:color w:val="000000"/>
          <w:sz w:val="20"/>
        </w:rPr>
        <w:t>CONDENSED CONSOLIDATED BALANCE SHEETS</w:t>
      </w:r>
    </w:p>
    <w:tbl>
      <w:tblPr>
        <w:tblW w:w="8574" w:type="dxa"/>
        <w:jc w:val="center"/>
        <w:tblInd w:w="0" w:type="dxa"/>
        <w:tblLayout w:type="fixed"/>
        <w:tblCellMar>
          <w:top w:w="28" w:type="dxa"/>
          <w:left w:w="28" w:type="dxa"/>
          <w:bottom w:w="28" w:type="dxa"/>
          <w:right w:w="28" w:type="dxa"/>
        </w:tblCellMar>
      </w:tblPr>
      <w:tblGrid>
        <w:gridCol w:w="2028"/>
        <w:gridCol w:w="1780"/>
        <w:gridCol w:w="1787"/>
        <w:gridCol w:w="211"/>
        <w:gridCol w:w="991"/>
        <w:gridCol w:w="109"/>
        <w:gridCol w:w="109"/>
        <w:gridCol w:w="109"/>
        <w:gridCol w:w="109"/>
        <w:gridCol w:w="211"/>
        <w:gridCol w:w="976"/>
        <w:gridCol w:w="154"/>
      </w:tblGrid>
      <w:tr>
        <w:trPr/>
        <w:tc>
          <w:tcPr>
            <w:tcW w:w="2028"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As of</w:t>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r>
      <w:tr>
        <w:trPr/>
        <w:tc>
          <w:tcPr>
            <w:tcW w:w="55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5"/>
              </w:rPr>
            </w:pPr>
            <w:r>
              <w:rPr>
                <w:rFonts w:ascii="Arial;sans-serif" w:hAnsi="Arial;sans-serif"/>
                <w:b/>
                <w:color w:val="000000"/>
                <w:sz w:val="15"/>
              </w:rPr>
              <w:t>(Unaudited)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Assets</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Current Assets</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156,766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266,988 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51,342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44,417 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Investments in marketable equity securities and other investments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1,089,301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1,088,970 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474,687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576,754 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Inventories and contracts in progress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333,459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303,370 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Prepaid expenses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120,751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124,875 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Income taxes receivable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33,404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15,447 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11,339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10,274 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Total Current Assets</w:t>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2,271,049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2,431,095 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Property, Plant and Equipment,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577,861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587,434 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Lease Right-of-Use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396,165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404,818 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Investments in Affiliates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208,550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229,565 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Goodwill,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1,600,573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1,585,666 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Indefinite-Lived Intangible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170,337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170,805 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Amortized Intangible Assets,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49,409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61,631 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Prepaid Pension Cost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2,723,553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2,772,394 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Deferred Income Taxes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8,399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9,690 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Deferred Charges and Other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135,213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142,615 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8,141,109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8,395,713 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Liabilities and Equity</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Current Liabilities</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Accounts payable, vehicle floor plan payable and 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638,583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721,626 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292,474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411,651 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Income taxes payable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23,352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8,995 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Mandatorily redeemable noncontrolling interest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6,033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6,874 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Current portion of lease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61,341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64,290 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191,472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175,138 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Dividends declared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8,040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Total Current Liabilities</w:t>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1,221,295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1,388,574 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Accrued Compensation and Related Benefits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136,740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135,323 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Other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23,439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28,639 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Deferred Income Taxes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850,945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890,984 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Mandatorily Redeemable Noncontrolling Interest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1,390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Lease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376,913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377,897 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Long-Term Debt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708,901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705,618 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Total Liabilities</w:t>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3,319,623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3,528,562 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color w:val="000000"/>
                <w:sz w:val="18"/>
              </w:rPr>
              <w:t>Commitments and Contingencies</w:t>
            </w:r>
            <w:r>
              <w:rPr>
                <w:color w:val="000000"/>
              </w:rPr>
              <w:t xml:space="preserve"> </w:t>
            </w:r>
            <w:r>
              <w:rPr>
                <w:rFonts w:ascii="Arial;sans-serif" w:hAnsi="Arial;sans-serif"/>
                <w:b w:val="false"/>
                <w:color w:val="000000"/>
                <w:sz w:val="18"/>
              </w:rPr>
              <w:t>(Note 15)</w:t>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Redeemable Noncontrolling Interests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25,386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39,824 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Preferred Stock</w:t>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Common Stockholders’ Equity</w:t>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Common stock</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Capital in excess of par value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352,983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379,896 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8,578,539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8,292,681 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 net of taxes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Cumulative foreign currency translation adjustment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(12,210)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(12,262)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Unrealized gain on pensions and other postretirement plans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432,083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601,064 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Cash flow hedges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(1,722)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Cost of Class B common stock held in treasury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(4,609,033)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(4,485,632)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Total Common Stockholders’ Equity</w:t>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4,761,578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4,794,025 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Noncontrolling Interests</w:t>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34,522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33,302 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Total Equity</w:t>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4,796,100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4,827,327 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Total Liabilities and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8,141,109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8,395,713 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left"/>
        <w:rPr>
          <w:rFonts w:ascii="Arial;sans-serif" w:hAnsi="Arial;sans-serif"/>
          <w:b w:val="false"/>
          <w:color w:val="000000"/>
          <w:sz w:val="16"/>
        </w:rPr>
      </w:pPr>
      <w:r>
        <w:rPr>
          <w:rFonts w:ascii="Arial;sans-serif" w:hAnsi="Arial;sans-serif"/>
          <w:b w:val="false"/>
          <w:color w:val="000000"/>
          <w:sz w:val="16"/>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GRAHAM HOLDINGS COMPANY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 (UNAUDITED)</w:t>
      </w:r>
    </w:p>
    <w:tbl>
      <w:tblPr>
        <w:tblW w:w="10205" w:type="dxa"/>
        <w:jc w:val="center"/>
        <w:tblInd w:w="0" w:type="dxa"/>
        <w:tblLayout w:type="fixed"/>
        <w:tblCellMar>
          <w:top w:w="28" w:type="dxa"/>
          <w:left w:w="28" w:type="dxa"/>
          <w:bottom w:w="28" w:type="dxa"/>
          <w:right w:w="28" w:type="dxa"/>
        </w:tblCellMar>
      </w:tblPr>
      <w:tblGrid>
        <w:gridCol w:w="2769"/>
        <w:gridCol w:w="2371"/>
        <w:gridCol w:w="2384"/>
        <w:gridCol w:w="211"/>
        <w:gridCol w:w="841"/>
        <w:gridCol w:w="109"/>
        <w:gridCol w:w="109"/>
        <w:gridCol w:w="109"/>
        <w:gridCol w:w="109"/>
        <w:gridCol w:w="211"/>
        <w:gridCol w:w="826"/>
        <w:gridCol w:w="156"/>
      </w:tblGrid>
      <w:tr>
        <w:trPr/>
        <w:tc>
          <w:tcPr>
            <w:tcW w:w="2769"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2681"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Six Months Ended </w:t>
              <w:br/>
              <w:t> June 30</w:t>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75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Net Income</w:t>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313,127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66,144 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161"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EE2724"/>
              </w:rPr>
            </w:pPr>
            <w:r>
              <w:rPr>
                <w:color w:val="EE2724"/>
              </w:rPr>
              <w:t>  </w:t>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Depreciation, amortization and goodwill and other asset impairments</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67,737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55,271 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Amortization of lease right-of-use asset</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29,343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28,729 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Net pension benefit, settlement gain and early retirement and special separation benefit expense</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(179,035)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(40,985)</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Gain on marketable equity securities and cost method investments, net of impairment</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(32,956)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(19,579)</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Loss on disposition of businesses, property, plant and equipment and investments, net</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4,669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485 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Credit loss expense</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2,953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2,125 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Stock-based compensation expense, net of forfeitures</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3,113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3,111 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Foreign exchange loss</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561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8,854 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Equity in (earnings) losses of affiliates, net of distributions</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20,028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11,219 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Provision for deferred income taxes</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17,442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3,079 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0"/>
              <w:ind w:left="0" w:right="0" w:hanging="180"/>
              <w:jc w:val="left"/>
              <w:rPr>
                <w:rFonts w:ascii="Arial;sans-serif" w:hAnsi="Arial;sans-serif"/>
                <w:b w:val="false"/>
                <w:color w:val="000000"/>
                <w:sz w:val="18"/>
              </w:rPr>
            </w:pPr>
            <w:r>
              <w:rPr>
                <w:rFonts w:ascii="Arial;sans-serif" w:hAnsi="Arial;sans-serif"/>
                <w:b w:val="false"/>
                <w:color w:val="000000"/>
                <w:sz w:val="18"/>
              </w:rPr>
              <w:t>Change in operating assets and liabilities: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80,834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60,739 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(27,198)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33,244 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Accounts payable and accrued liabilities</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(65,799)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(55,264)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(90,294)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(59,192)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Income taxes receivable/payable</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(4,072)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(13,636)</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Lease liabilities</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(24,701)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(25,615)</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Other assets and other liabilities, net</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3,240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82,088 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1,418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120,410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140,810 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Proceeds from sales of marketable equity securities</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49,994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Net (payment on) proceeds from disposition of businesses, property, plant and equipment and investments</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(40,050)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7,348 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(39,233)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(32,285)</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Purchases of marketable equity securities</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(18,696)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(4,823)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Investments in certain businesses, net of cash acquired</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(18,237)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(2,523)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Proceeds from repayment of related party loan</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16,273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 xml:space="preserve">Other </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1,109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966 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(48,840)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(31,317)</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EE2724"/>
              </w:rPr>
            </w:pPr>
            <w:r>
              <w:rPr>
                <w:color w:val="EE2724"/>
              </w:rPr>
              <w:t>  </w:t>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Common shares repurchased</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(121,985)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(3,468)</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Purchase of noncontrolling interests</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(17,340)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Dividends paid</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(16,311)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(15,660)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Repayments of borrowings</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(15,194)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(13,172)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Net borrowings under revolving credit facilities</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13,092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75,000 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Net repayments of vehicle floor plan payable</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(1,863)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(32,776)</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Principal payments of finance leases</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(7,543)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(8,446)</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Distributions paid to noncontrolling interests</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(4,355)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(190,319)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(963)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329 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(172,462)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(188,512)</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Effect of Currency Exchange Rate Change</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(2,405)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10,514 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Net Decrease in Cash and Cash Equivalents and Restricted Cash</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(103,297)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(68,505)</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Beginning Cash and Cash Equivalents and Restricted Cash</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311,405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297,853 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Ending Cash and Cash Equivalents and Restricted Cash</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208,108</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229,348 </w:t>
            </w:r>
          </w:p>
        </w:tc>
        <w:tc>
          <w:tcPr>
            <w:tcW w:w="1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ind w:left="0" w:right="0" w:firstLine="720"/>
        <w:jc w:val="center"/>
        <w:rPr>
          <w:rFonts w:ascii="Arial;sans-serif" w:hAnsi="Arial;sans-serif"/>
          <w:b/>
          <w:color w:val="000000"/>
          <w:sz w:val="20"/>
        </w:rPr>
      </w:pPr>
      <w:r>
        <w:rPr>
          <w:rFonts w:ascii="Arial;sans-serif" w:hAnsi="Arial;sans-serif"/>
          <w:b/>
          <w:color w:val="000000"/>
          <w:sz w:val="20"/>
        </w:rPr>
        <w:t>GRAHAM HOLDINGS COMPANY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CHANGES IN COMMON STOCKHOLDERS’ EQUITY (UNAUDITED)</w:t>
      </w:r>
    </w:p>
    <w:tbl>
      <w:tblPr>
        <w:tblW w:w="10205" w:type="dxa"/>
        <w:jc w:val="center"/>
        <w:tblInd w:w="0" w:type="dxa"/>
        <w:tblLayout w:type="fixed"/>
        <w:tblCellMar>
          <w:top w:w="28" w:type="dxa"/>
          <w:left w:w="28" w:type="dxa"/>
          <w:bottom w:w="28" w:type="dxa"/>
          <w:right w:w="28" w:type="dxa"/>
        </w:tblCellMar>
      </w:tblPr>
      <w:tblGrid>
        <w:gridCol w:w="738"/>
        <w:gridCol w:w="267"/>
        <w:gridCol w:w="256"/>
        <w:gridCol w:w="196"/>
        <w:gridCol w:w="661"/>
        <w:gridCol w:w="109"/>
        <w:gridCol w:w="196"/>
        <w:gridCol w:w="751"/>
        <w:gridCol w:w="109"/>
        <w:gridCol w:w="196"/>
        <w:gridCol w:w="886"/>
        <w:gridCol w:w="109"/>
        <w:gridCol w:w="196"/>
        <w:gridCol w:w="751"/>
        <w:gridCol w:w="109"/>
        <w:gridCol w:w="196"/>
        <w:gridCol w:w="871"/>
        <w:gridCol w:w="109"/>
        <w:gridCol w:w="196"/>
        <w:gridCol w:w="661"/>
        <w:gridCol w:w="109"/>
        <w:gridCol w:w="196"/>
        <w:gridCol w:w="886"/>
        <w:gridCol w:w="109"/>
        <w:gridCol w:w="109"/>
        <w:gridCol w:w="109"/>
        <w:gridCol w:w="109"/>
        <w:gridCol w:w="196"/>
        <w:gridCol w:w="661"/>
        <w:gridCol w:w="158"/>
      </w:tblGrid>
      <w:tr>
        <w:trPr/>
        <w:tc>
          <w:tcPr>
            <w:tcW w:w="7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96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2"/>
              </w:rPr>
            </w:pPr>
            <w:r>
              <w:rPr>
                <w:rFonts w:ascii="Arial;sans-serif" w:hAnsi="Arial;sans-serif"/>
                <w:b w:val="false"/>
                <w:color w:val="000000"/>
                <w:sz w:val="12"/>
              </w:rPr>
              <w:t xml:space="preserve">Common </w:t>
              <w:br/>
              <w:t>Stock</w:t>
            </w:r>
          </w:p>
        </w:tc>
        <w:tc>
          <w:tcPr>
            <w:tcW w:w="105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2"/>
              </w:rPr>
            </w:pPr>
            <w:r>
              <w:rPr>
                <w:rFonts w:ascii="Arial;sans-serif" w:hAnsi="Arial;sans-serif"/>
                <w:b w:val="false"/>
                <w:color w:val="000000"/>
                <w:sz w:val="12"/>
              </w:rPr>
              <w:t xml:space="preserve">Capital in </w:t>
              <w:br/>
              <w:t xml:space="preserve">Excess of </w:t>
              <w:br/>
              <w:t>Par Value</w:t>
            </w:r>
          </w:p>
        </w:tc>
        <w:tc>
          <w:tcPr>
            <w:tcW w:w="119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2"/>
              </w:rPr>
            </w:pPr>
            <w:r>
              <w:rPr>
                <w:rFonts w:ascii="Arial;sans-serif" w:hAnsi="Arial;sans-serif"/>
                <w:b w:val="false"/>
                <w:color w:val="000000"/>
                <w:sz w:val="12"/>
              </w:rPr>
              <w:t xml:space="preserve">Retained </w:t>
              <w:br/>
              <w:t>Earnings</w:t>
            </w:r>
          </w:p>
        </w:tc>
        <w:tc>
          <w:tcPr>
            <w:tcW w:w="105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2"/>
              </w:rPr>
            </w:pPr>
            <w:r>
              <w:rPr>
                <w:rFonts w:ascii="Arial;sans-serif" w:hAnsi="Arial;sans-serif"/>
                <w:b w:val="false"/>
                <w:color w:val="000000"/>
                <w:sz w:val="12"/>
              </w:rPr>
              <w:t>Accumulated Other Comprehensive Income</w:t>
            </w:r>
          </w:p>
        </w:tc>
        <w:tc>
          <w:tcPr>
            <w:tcW w:w="117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2"/>
              </w:rPr>
            </w:pPr>
            <w:r>
              <w:rPr>
                <w:rFonts w:ascii="Arial;sans-serif" w:hAnsi="Arial;sans-serif"/>
                <w:b w:val="false"/>
                <w:color w:val="000000"/>
                <w:sz w:val="12"/>
              </w:rPr>
              <w:t xml:space="preserve">Treasury </w:t>
              <w:br/>
              <w:t>Stock</w:t>
            </w:r>
          </w:p>
        </w:tc>
        <w:tc>
          <w:tcPr>
            <w:tcW w:w="96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2"/>
              </w:rPr>
            </w:pPr>
            <w:r>
              <w:rPr>
                <w:rFonts w:ascii="Arial;sans-serif" w:hAnsi="Arial;sans-serif"/>
                <w:b w:val="false"/>
                <w:color w:val="000000"/>
                <w:sz w:val="12"/>
              </w:rPr>
              <w:t xml:space="preserve">Noncontrolling </w:t>
              <w:br/>
              <w:t>Interest</w:t>
            </w:r>
          </w:p>
        </w:tc>
        <w:tc>
          <w:tcPr>
            <w:tcW w:w="119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2"/>
              </w:rPr>
            </w:pPr>
            <w:r>
              <w:rPr>
                <w:rFonts w:ascii="Arial;sans-serif" w:hAnsi="Arial;sans-serif"/>
                <w:b w:val="false"/>
                <w:color w:val="000000"/>
                <w:sz w:val="12"/>
              </w:rPr>
              <w:t>Total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2"/>
              </w:rPr>
            </w:pPr>
            <w:r>
              <w:rPr>
                <w:rFonts w:ascii="Arial;sans-serif" w:hAnsi="Arial;sans-serif"/>
                <w:b w:val="false"/>
                <w:color w:val="000000"/>
                <w:sz w:val="12"/>
              </w:rPr>
              <w:t>Redeemable Noncontrolling Interest</w:t>
            </w:r>
          </w:p>
        </w:tc>
      </w:tr>
      <w:tr>
        <w:trPr/>
        <w:tc>
          <w:tcPr>
            <w:tcW w:w="12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As of December 31, 2025</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20,000 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379,896 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8,292,681 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587,080 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(4,485,632)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33,302 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4,827,327 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39,824 </w:t>
            </w:r>
          </w:p>
        </w:tc>
        <w:tc>
          <w:tcPr>
            <w:tcW w:w="1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Net income for the period</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30,751 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30,751 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Net income attributable to noncontrolling interests</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(699)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699 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Net income attributable to redeemable noncontrolling interests</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(946)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(946)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946 </w:t>
            </w:r>
          </w:p>
        </w:tc>
        <w:tc>
          <w:tcPr>
            <w:tcW w:w="15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Change in redemption value of redeemable noncontrolling interest</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(8,225)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(8,229)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8,250 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Distributions to noncontrolling interests</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(884)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(884)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(2,251)</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Dividends on common stock</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(16,398)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(16,398)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Repurchase of Class B common stock</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(34,476)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(34,476)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Issuance of Class B common stock, net of restricted stock award forfeitures</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(252)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224 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Shares withheld related to net share settlement</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(434)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(434)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Amortization of unearned stock compensation and stock option expense</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1,525 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1,525 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Purchase of noncontrolling interest</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(26,001)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939</w:t>
            </w:r>
          </w:p>
        </w:tc>
        <w:tc>
          <w:tcPr>
            <w:tcW w:w="10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(25,062)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Other comprehensive loss, net of income taxes</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(6,342)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(6,342)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Purchase of redeemable noncontrolling interests</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(16,849)</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5"/>
              </w:rPr>
            </w:pPr>
            <w:r>
              <w:rPr>
                <w:rFonts w:ascii="Arial;sans-serif" w:hAnsi="Arial;sans-serif"/>
                <w:b/>
                <w:color w:val="000000"/>
                <w:sz w:val="15"/>
              </w:rPr>
              <w:t>As of March 31, 2026</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5"/>
              </w:rPr>
            </w:pPr>
            <w:r>
              <w:rPr>
                <w:rFonts w:ascii="Arial;sans-serif" w:hAnsi="Arial;sans-serif"/>
                <w:b/>
                <w:color w:val="000000"/>
                <w:sz w:val="15"/>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5"/>
              </w:rPr>
              <w:t>20,000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5"/>
              </w:rPr>
            </w:pPr>
            <w:r>
              <w:rPr>
                <w:rFonts w:ascii="Arial;sans-serif" w:hAnsi="Arial;sans-serif"/>
                <w:b/>
                <w:color w:val="000000"/>
                <w:sz w:val="15"/>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5"/>
              </w:rPr>
              <w:t>346,943</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5"/>
              </w:rPr>
            </w:pPr>
            <w:r>
              <w:rPr>
                <w:rFonts w:ascii="Arial;sans-serif" w:hAnsi="Arial;sans-serif"/>
                <w:b/>
                <w:color w:val="000000"/>
                <w:sz w:val="15"/>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5"/>
              </w:rPr>
              <w:t>8,305,389</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5"/>
              </w:rPr>
            </w:pPr>
            <w:r>
              <w:rPr>
                <w:rFonts w:ascii="Arial;sans-serif" w:hAnsi="Arial;sans-serif"/>
                <w:b/>
                <w:color w:val="000000"/>
                <w:sz w:val="15"/>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5"/>
              </w:rPr>
              <w:t>580,738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5"/>
              </w:rPr>
            </w:pPr>
            <w:r>
              <w:rPr>
                <w:rFonts w:ascii="Arial;sans-serif" w:hAnsi="Arial;sans-serif"/>
                <w:b/>
                <w:color w:val="000000"/>
                <w:sz w:val="15"/>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5"/>
              </w:rPr>
            </w:pPr>
            <w:r>
              <w:rPr>
                <w:rFonts w:ascii="Arial;sans-serif" w:hAnsi="Arial;sans-serif"/>
                <w:b/>
                <w:color w:val="000000"/>
                <w:sz w:val="15"/>
              </w:rPr>
              <w:t>(4,520,318)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5"/>
              </w:rPr>
            </w:pPr>
            <w:r>
              <w:rPr>
                <w:rFonts w:ascii="Arial;sans-serif" w:hAnsi="Arial;sans-serif"/>
                <w:b/>
                <w:color w:val="000000"/>
                <w:sz w:val="15"/>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5"/>
              </w:rPr>
              <w:t>34,052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5"/>
              </w:rPr>
            </w:pPr>
            <w:r>
              <w:rPr>
                <w:rFonts w:ascii="Arial;sans-serif" w:hAnsi="Arial;sans-serif"/>
                <w:b/>
                <w:color w:val="000000"/>
                <w:sz w:val="15"/>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5"/>
              </w:rPr>
              <w:t>4,766,804</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5"/>
              </w:rPr>
            </w:pPr>
            <w:r>
              <w:rPr>
                <w:rFonts w:ascii="Arial;sans-serif" w:hAnsi="Arial;sans-serif"/>
                <w:b/>
                <w:color w:val="000000"/>
                <w:sz w:val="15"/>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5"/>
              </w:rPr>
              <w:t>29,920</w:t>
            </w:r>
            <w:r>
              <w:rPr>
                <w:color w:val="000000"/>
              </w:rPr>
              <w:t> </w:t>
            </w:r>
          </w:p>
        </w:tc>
        <w:tc>
          <w:tcPr>
            <w:tcW w:w="1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5"/>
              </w:rPr>
            </w:pPr>
            <w:r>
              <w:rPr>
                <w:rFonts w:ascii="Arial;sans-serif" w:hAnsi="Arial;sans-serif"/>
                <w:b/>
                <w:color w:val="000000"/>
                <w:sz w:val="15"/>
              </w:rPr>
              <w:t>Net income for the period</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5"/>
              </w:rPr>
              <w:t>282,376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5"/>
              </w:rPr>
              <w:t>282,376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5"/>
              </w:rPr>
            </w:pPr>
            <w:r>
              <w:rPr>
                <w:rFonts w:ascii="Arial;sans-serif" w:hAnsi="Arial;sans-serif"/>
                <w:b/>
                <w:color w:val="000000"/>
                <w:sz w:val="15"/>
              </w:rPr>
              <w:t>Net income attributable to noncontrolling interests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5"/>
              </w:rPr>
            </w:pPr>
            <w:r>
              <w:rPr>
                <w:rFonts w:ascii="Arial;sans-serif" w:hAnsi="Arial;sans-serif"/>
                <w:b/>
                <w:color w:val="000000"/>
                <w:sz w:val="15"/>
              </w:rPr>
              <w:t>(1,348)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5"/>
              </w:rPr>
              <w:t>1,348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5"/>
              </w:rPr>
            </w:pPr>
            <w:r>
              <w:rPr>
                <w:rFonts w:ascii="Arial;sans-serif" w:hAnsi="Arial;sans-serif"/>
                <w:b/>
                <w:color w:val="000000"/>
                <w:sz w:val="15"/>
              </w:rPr>
              <w:t>Net loss attributable to redeemable noncontrolling interests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5"/>
              </w:rPr>
              <w:t>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5"/>
              </w:rPr>
              <w:t>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5"/>
              </w:rPr>
            </w:pPr>
            <w:r>
              <w:rPr>
                <w:rFonts w:ascii="Arial;sans-serif" w:hAnsi="Arial;sans-serif"/>
                <w:b/>
                <w:color w:val="000000"/>
                <w:sz w:val="15"/>
              </w:rPr>
              <w:t>(75)</w:t>
            </w:r>
          </w:p>
        </w:tc>
        <w:tc>
          <w:tcPr>
            <w:tcW w:w="15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5"/>
              </w:rPr>
            </w:pPr>
            <w:r>
              <w:rPr>
                <w:rFonts w:ascii="Arial;sans-serif" w:hAnsi="Arial;sans-serif"/>
                <w:b/>
                <w:color w:val="000000"/>
                <w:sz w:val="15"/>
              </w:rPr>
              <w:t>Change in redemption value of redeemable noncontrolling interests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5"/>
              </w:rPr>
              <w:t>4,427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5"/>
              </w:rPr>
              <w:t>210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5"/>
              </w:rPr>
              <w:t>4,637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5"/>
              </w:rPr>
            </w:pPr>
            <w:r>
              <w:rPr>
                <w:rFonts w:ascii="Arial;sans-serif" w:hAnsi="Arial;sans-serif"/>
                <w:b/>
                <w:color w:val="000000"/>
                <w:sz w:val="15"/>
              </w:rPr>
              <w:t>(4,427)</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5"/>
              </w:rPr>
            </w:pPr>
            <w:r>
              <w:rPr>
                <w:rFonts w:ascii="Arial;sans-serif" w:hAnsi="Arial;sans-serif"/>
                <w:b/>
                <w:color w:val="000000"/>
                <w:sz w:val="15"/>
              </w:rPr>
              <w:t>Distributions to noncontrolling interests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5"/>
              </w:rPr>
            </w:pPr>
            <w:r>
              <w:rPr>
                <w:rFonts w:ascii="Arial;sans-serif" w:hAnsi="Arial;sans-serif"/>
                <w:b/>
                <w:color w:val="000000"/>
                <w:sz w:val="15"/>
              </w:rPr>
              <w:t>(1,088)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5"/>
              </w:rPr>
            </w:pPr>
            <w:r>
              <w:rPr>
                <w:rFonts w:ascii="Arial;sans-serif" w:hAnsi="Arial;sans-serif"/>
                <w:b/>
                <w:color w:val="000000"/>
                <w:sz w:val="15"/>
              </w:rPr>
              <w:t>(1,088)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5"/>
              </w:rPr>
            </w:pPr>
            <w:r>
              <w:rPr>
                <w:rFonts w:ascii="Arial;sans-serif" w:hAnsi="Arial;sans-serif"/>
                <w:b/>
                <w:color w:val="000000"/>
                <w:sz w:val="15"/>
              </w:rPr>
              <w:t>(32)</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5"/>
              </w:rPr>
            </w:pPr>
            <w:r>
              <w:rPr>
                <w:rFonts w:ascii="Arial;sans-serif" w:hAnsi="Arial;sans-serif"/>
                <w:b/>
                <w:color w:val="000000"/>
                <w:sz w:val="15"/>
              </w:rPr>
              <w:t>Dividends on common stock</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5"/>
              </w:rPr>
            </w:pPr>
            <w:r>
              <w:rPr>
                <w:rFonts w:ascii="Arial;sans-serif" w:hAnsi="Arial;sans-serif"/>
                <w:b/>
                <w:color w:val="000000"/>
                <w:sz w:val="15"/>
              </w:rPr>
              <w:t>(7,953)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5"/>
              </w:rPr>
            </w:pPr>
            <w:r>
              <w:rPr>
                <w:rFonts w:ascii="Arial;sans-serif" w:hAnsi="Arial;sans-serif"/>
                <w:b/>
                <w:color w:val="000000"/>
                <w:sz w:val="15"/>
              </w:rPr>
              <w:t>(7,953)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5"/>
              </w:rPr>
            </w:pPr>
            <w:r>
              <w:rPr>
                <w:rFonts w:ascii="Arial;sans-serif" w:hAnsi="Arial;sans-serif"/>
                <w:b/>
                <w:color w:val="000000"/>
                <w:sz w:val="15"/>
              </w:rPr>
              <w:t>Repurchase of Class B common stock</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5"/>
              </w:rPr>
            </w:pPr>
            <w:r>
              <w:rPr>
                <w:rFonts w:ascii="Arial;sans-serif" w:hAnsi="Arial;sans-serif"/>
                <w:b/>
                <w:color w:val="000000"/>
                <w:sz w:val="15"/>
              </w:rPr>
              <w:t>(88,718)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5"/>
              </w:rPr>
            </w:pPr>
            <w:r>
              <w:rPr>
                <w:rFonts w:ascii="Arial;sans-serif" w:hAnsi="Arial;sans-serif"/>
                <w:b/>
                <w:color w:val="000000"/>
                <w:sz w:val="15"/>
              </w:rPr>
              <w:t>(88,718)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5"/>
              </w:rPr>
            </w:pPr>
            <w:r>
              <w:rPr>
                <w:rFonts w:ascii="Arial;sans-serif" w:hAnsi="Arial;sans-serif"/>
                <w:b/>
                <w:color w:val="000000"/>
                <w:sz w:val="15"/>
              </w:rPr>
              <w:t>Issuance of Class B common stock, net of restricted stock award forfeitures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5"/>
              </w:rPr>
            </w:pPr>
            <w:r>
              <w:rPr>
                <w:rFonts w:ascii="Arial;sans-serif" w:hAnsi="Arial;sans-serif"/>
                <w:b/>
                <w:color w:val="000000"/>
                <w:sz w:val="15"/>
              </w:rPr>
              <w:t>(160)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5"/>
              </w:rPr>
              <w:t>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5"/>
              </w:rPr>
            </w:pPr>
            <w:r>
              <w:rPr>
                <w:rFonts w:ascii="Arial;sans-serif" w:hAnsi="Arial;sans-serif"/>
                <w:b/>
                <w:color w:val="000000"/>
                <w:sz w:val="15"/>
              </w:rPr>
              <w:t>(157)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5"/>
              </w:rPr>
            </w:pPr>
            <w:r>
              <w:rPr>
                <w:rFonts w:ascii="Arial;sans-serif" w:hAnsi="Arial;sans-serif"/>
                <w:b/>
                <w:color w:val="000000"/>
                <w:sz w:val="15"/>
              </w:rPr>
              <w:t>Amortization of unearned stock compensation and stock option expense</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5"/>
              </w:rPr>
              <w:t>1,773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5"/>
              </w:rPr>
              <w:t>1,773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5"/>
              </w:rPr>
            </w:pPr>
            <w:r>
              <w:rPr>
                <w:rFonts w:ascii="Arial;sans-serif" w:hAnsi="Arial;sans-serif"/>
                <w:b/>
                <w:color w:val="000000"/>
                <w:sz w:val="15"/>
              </w:rPr>
              <w:t>Other comprehensive loss, net of income taxes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5"/>
              </w:rPr>
            </w:pPr>
            <w:r>
              <w:rPr>
                <w:rFonts w:ascii="Arial;sans-serif" w:hAnsi="Arial;sans-serif"/>
                <w:b/>
                <w:color w:val="000000"/>
                <w:sz w:val="15"/>
              </w:rPr>
              <w:t>(161,649)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5"/>
              </w:rPr>
            </w:pPr>
            <w:r>
              <w:rPr>
                <w:rFonts w:ascii="Arial;sans-serif" w:hAnsi="Arial;sans-serif"/>
                <w:b/>
                <w:color w:val="000000"/>
                <w:sz w:val="15"/>
              </w:rPr>
              <w:t>(161,649)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5"/>
              </w:rPr>
            </w:pPr>
            <w:r>
              <w:rPr>
                <w:rFonts w:ascii="Arial;sans-serif" w:hAnsi="Arial;sans-serif"/>
                <w:b/>
                <w:color w:val="000000"/>
                <w:sz w:val="15"/>
              </w:rPr>
              <w:t>As of June 30, 2026</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5"/>
              </w:rPr>
            </w:pPr>
            <w:r>
              <w:rPr>
                <w:rFonts w:ascii="Arial;sans-serif" w:hAnsi="Arial;sans-serif"/>
                <w:b/>
                <w:color w:val="000000"/>
                <w:sz w:val="15"/>
              </w:rPr>
              <w:t>$</w:t>
            </w:r>
          </w:p>
        </w:tc>
        <w:tc>
          <w:tcPr>
            <w:tcW w:w="6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5"/>
              </w:rPr>
              <w:t>20,000</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5"/>
              </w:rPr>
            </w:pPr>
            <w:r>
              <w:rPr>
                <w:rFonts w:ascii="Arial;sans-serif" w:hAnsi="Arial;sans-serif"/>
                <w:b/>
                <w:color w:val="000000"/>
                <w:sz w:val="15"/>
              </w:rPr>
              <w:t>$</w:t>
            </w:r>
          </w:p>
        </w:tc>
        <w:tc>
          <w:tcPr>
            <w:tcW w:w="7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5"/>
              </w:rPr>
              <w:t>352,983</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5"/>
              </w:rPr>
            </w:pPr>
            <w:r>
              <w:rPr>
                <w:rFonts w:ascii="Arial;sans-serif" w:hAnsi="Arial;sans-serif"/>
                <w:b/>
                <w:color w:val="000000"/>
                <w:sz w:val="15"/>
              </w:rPr>
              <w:t>$</w:t>
            </w:r>
          </w:p>
        </w:tc>
        <w:tc>
          <w:tcPr>
            <w:tcW w:w="8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5"/>
              </w:rPr>
              <w:t>8,578,539</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5"/>
              </w:rPr>
            </w:pPr>
            <w:r>
              <w:rPr>
                <w:rFonts w:ascii="Arial;sans-serif" w:hAnsi="Arial;sans-serif"/>
                <w:b/>
                <w:color w:val="000000"/>
                <w:sz w:val="15"/>
              </w:rPr>
              <w:t>$</w:t>
            </w:r>
          </w:p>
        </w:tc>
        <w:tc>
          <w:tcPr>
            <w:tcW w:w="7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5"/>
              </w:rPr>
              <w:t>419,089</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5"/>
              </w:rPr>
            </w:pPr>
            <w:r>
              <w:rPr>
                <w:rFonts w:ascii="Arial;sans-serif" w:hAnsi="Arial;sans-serif"/>
                <w:b/>
                <w:color w:val="000000"/>
                <w:sz w:val="15"/>
              </w:rPr>
              <w:t>$</w:t>
            </w:r>
          </w:p>
        </w:tc>
        <w:tc>
          <w:tcPr>
            <w:tcW w:w="8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color w:val="000000"/>
                <w:sz w:val="15"/>
              </w:rPr>
            </w:pPr>
            <w:r>
              <w:rPr>
                <w:rFonts w:ascii="Arial;sans-serif" w:hAnsi="Arial;sans-serif"/>
                <w:b/>
                <w:color w:val="000000"/>
                <w:sz w:val="15"/>
              </w:rPr>
              <w:t>(4,609,033)</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5"/>
              </w:rPr>
            </w:pPr>
            <w:r>
              <w:rPr>
                <w:rFonts w:ascii="Arial;sans-serif" w:hAnsi="Arial;sans-serif"/>
                <w:b/>
                <w:color w:val="000000"/>
                <w:sz w:val="15"/>
              </w:rPr>
              <w:t>$</w:t>
            </w:r>
          </w:p>
        </w:tc>
        <w:tc>
          <w:tcPr>
            <w:tcW w:w="6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5"/>
              </w:rPr>
              <w:t>34,522</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5"/>
              </w:rPr>
            </w:pPr>
            <w:r>
              <w:rPr>
                <w:rFonts w:ascii="Arial;sans-serif" w:hAnsi="Arial;sans-serif"/>
                <w:b/>
                <w:color w:val="000000"/>
                <w:sz w:val="15"/>
              </w:rPr>
              <w:t>$</w:t>
            </w:r>
          </w:p>
        </w:tc>
        <w:tc>
          <w:tcPr>
            <w:tcW w:w="8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5"/>
              </w:rPr>
              <w:t>4,796,100</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5"/>
              </w:rPr>
            </w:pPr>
            <w:r>
              <w:rPr>
                <w:rFonts w:ascii="Arial;sans-serif" w:hAnsi="Arial;sans-serif"/>
                <w:b/>
                <w:color w:val="000000"/>
                <w:sz w:val="15"/>
              </w:rPr>
              <w:t>$</w:t>
            </w:r>
          </w:p>
        </w:tc>
        <w:tc>
          <w:tcPr>
            <w:tcW w:w="6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5"/>
              </w:rPr>
              <w:t>25,386</w:t>
            </w:r>
            <w:r>
              <w:rPr>
                <w:color w:val="000000"/>
              </w:rPr>
              <w:t> </w:t>
            </w:r>
          </w:p>
        </w:tc>
        <w:tc>
          <w:tcPr>
            <w:tcW w:w="15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60"/>
        <w:jc w:val="left"/>
        <w:rPr/>
      </w:pPr>
      <w:r>
        <w:rPr/>
      </w:r>
    </w:p>
    <w:tbl>
      <w:tblPr>
        <w:tblW w:w="10205" w:type="dxa"/>
        <w:jc w:val="center"/>
        <w:tblInd w:w="0" w:type="dxa"/>
        <w:tblLayout w:type="fixed"/>
        <w:tblCellMar>
          <w:top w:w="28" w:type="dxa"/>
          <w:left w:w="28" w:type="dxa"/>
          <w:bottom w:w="28" w:type="dxa"/>
          <w:right w:w="28" w:type="dxa"/>
        </w:tblCellMar>
      </w:tblPr>
      <w:tblGrid>
        <w:gridCol w:w="687"/>
        <w:gridCol w:w="311"/>
        <w:gridCol w:w="301"/>
        <w:gridCol w:w="196"/>
        <w:gridCol w:w="646"/>
        <w:gridCol w:w="109"/>
        <w:gridCol w:w="196"/>
        <w:gridCol w:w="736"/>
        <w:gridCol w:w="109"/>
        <w:gridCol w:w="196"/>
        <w:gridCol w:w="871"/>
        <w:gridCol w:w="109"/>
        <w:gridCol w:w="203"/>
        <w:gridCol w:w="763"/>
        <w:gridCol w:w="113"/>
        <w:gridCol w:w="196"/>
        <w:gridCol w:w="872"/>
        <w:gridCol w:w="109"/>
        <w:gridCol w:w="196"/>
        <w:gridCol w:w="646"/>
        <w:gridCol w:w="109"/>
        <w:gridCol w:w="196"/>
        <w:gridCol w:w="871"/>
        <w:gridCol w:w="109"/>
        <w:gridCol w:w="109"/>
        <w:gridCol w:w="109"/>
        <w:gridCol w:w="109"/>
        <w:gridCol w:w="201"/>
        <w:gridCol w:w="665"/>
        <w:gridCol w:w="162"/>
      </w:tblGrid>
      <w:tr>
        <w:trPr/>
        <w:tc>
          <w:tcPr>
            <w:tcW w:w="68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2"/>
              </w:rPr>
            </w:pPr>
            <w:r>
              <w:rPr>
                <w:rFonts w:ascii="Arial;sans-serif" w:hAnsi="Arial;sans-serif"/>
                <w:b w:val="false"/>
                <w:color w:val="000000"/>
                <w:sz w:val="12"/>
              </w:rPr>
              <w:t xml:space="preserve">Common </w:t>
              <w:br/>
              <w:t>Stock</w:t>
            </w:r>
          </w:p>
        </w:tc>
        <w:tc>
          <w:tcPr>
            <w:tcW w:w="104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2"/>
              </w:rPr>
            </w:pPr>
            <w:r>
              <w:rPr>
                <w:rFonts w:ascii="Arial;sans-serif" w:hAnsi="Arial;sans-serif"/>
                <w:b w:val="false"/>
                <w:color w:val="000000"/>
                <w:sz w:val="12"/>
              </w:rPr>
              <w:t xml:space="preserve">Capital in </w:t>
              <w:br/>
              <w:t xml:space="preserve">Excess of </w:t>
              <w:br/>
              <w:t>Par Value</w:t>
            </w:r>
          </w:p>
        </w:tc>
        <w:tc>
          <w:tcPr>
            <w:tcW w:w="117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2"/>
              </w:rPr>
            </w:pPr>
            <w:r>
              <w:rPr>
                <w:rFonts w:ascii="Arial;sans-serif" w:hAnsi="Arial;sans-serif"/>
                <w:b w:val="false"/>
                <w:color w:val="000000"/>
                <w:sz w:val="12"/>
              </w:rPr>
              <w:t xml:space="preserve">Retained </w:t>
              <w:br/>
              <w:t>Earnings</w:t>
            </w:r>
          </w:p>
        </w:tc>
        <w:tc>
          <w:tcPr>
            <w:tcW w:w="1079"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2"/>
              </w:rPr>
            </w:pPr>
            <w:r>
              <w:rPr>
                <w:rFonts w:ascii="Arial;sans-serif" w:hAnsi="Arial;sans-serif"/>
                <w:b w:val="false"/>
                <w:color w:val="000000"/>
                <w:sz w:val="12"/>
              </w:rPr>
              <w:t>Accumulated Other Comprehensive Income</w:t>
            </w:r>
          </w:p>
        </w:tc>
        <w:tc>
          <w:tcPr>
            <w:tcW w:w="1177"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2"/>
              </w:rPr>
            </w:pPr>
            <w:r>
              <w:rPr>
                <w:rFonts w:ascii="Arial;sans-serif" w:hAnsi="Arial;sans-serif"/>
                <w:b w:val="false"/>
                <w:color w:val="000000"/>
                <w:sz w:val="12"/>
              </w:rPr>
              <w:t xml:space="preserve">Treasury </w:t>
              <w:br/>
              <w:t>Stock</w:t>
            </w:r>
          </w:p>
        </w:tc>
        <w:tc>
          <w:tcPr>
            <w:tcW w:w="95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2"/>
              </w:rPr>
            </w:pPr>
            <w:r>
              <w:rPr>
                <w:rFonts w:ascii="Arial;sans-serif" w:hAnsi="Arial;sans-serif"/>
                <w:b w:val="false"/>
                <w:color w:val="000000"/>
                <w:sz w:val="12"/>
              </w:rPr>
              <w:t xml:space="preserve">Noncontrolling </w:t>
              <w:br/>
              <w:t>Interest</w:t>
            </w:r>
          </w:p>
        </w:tc>
        <w:tc>
          <w:tcPr>
            <w:tcW w:w="117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2"/>
              </w:rPr>
            </w:pPr>
            <w:r>
              <w:rPr>
                <w:rFonts w:ascii="Arial;sans-serif" w:hAnsi="Arial;sans-serif"/>
                <w:b w:val="false"/>
                <w:color w:val="000000"/>
                <w:sz w:val="12"/>
              </w:rPr>
              <w:t>Total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2"/>
              </w:rPr>
            </w:pPr>
            <w:r>
              <w:rPr>
                <w:rFonts w:ascii="Arial;sans-serif" w:hAnsi="Arial;sans-serif"/>
                <w:b w:val="false"/>
                <w:color w:val="000000"/>
                <w:sz w:val="12"/>
              </w:rPr>
              <w:t>Redeemable Noncontrolling Interest</w:t>
            </w:r>
          </w:p>
        </w:tc>
      </w:tr>
      <w:tr>
        <w:trPr/>
        <w:tc>
          <w:tcPr>
            <w:tcW w:w="12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As of December 31, 2024</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20,000 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356,919 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8,031,750 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w:t>
            </w:r>
          </w:p>
        </w:tc>
        <w:tc>
          <w:tcPr>
            <w:tcW w:w="763"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334,797 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w:t>
            </w:r>
          </w:p>
        </w:tc>
        <w:tc>
          <w:tcPr>
            <w:tcW w:w="872"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(4,486,805)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30,154 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4,286,815 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w:t>
            </w:r>
          </w:p>
        </w:tc>
        <w:tc>
          <w:tcPr>
            <w:tcW w:w="66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43,821 </w:t>
            </w:r>
          </w:p>
        </w:tc>
        <w:tc>
          <w:tcPr>
            <w:tcW w:w="16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Net income for the period</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25,721 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25,721 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tcMar>
              <w:top w:w="0" w:type="dxa"/>
              <w:left w:w="0" w:type="dxa"/>
              <w:bottom w:w="0" w:type="dxa"/>
              <w:right w:w="0" w:type="dxa"/>
            </w:tcMar>
            <w:vAlign w:val="center"/>
          </w:tcPr>
          <w:p>
            <w:pPr>
              <w:pStyle w:val="TableContents"/>
              <w:bidi w:val="0"/>
              <w:spacing w:lineRule="auto" w:line="264" w:before="0" w:after="0"/>
              <w:ind w:left="0" w:right="0" w:hanging="180"/>
              <w:jc w:val="left"/>
              <w:rPr>
                <w:rFonts w:ascii="Arial;sans-serif" w:hAnsi="Arial;sans-serif"/>
                <w:b w:val="false"/>
                <w:color w:val="000000"/>
                <w:sz w:val="15"/>
              </w:rPr>
            </w:pPr>
            <w:r>
              <w:rPr>
                <w:rFonts w:ascii="Arial;sans-serif" w:hAnsi="Arial;sans-serif"/>
                <w:b w:val="false"/>
                <w:color w:val="000000"/>
                <w:sz w:val="15"/>
              </w:rPr>
              <w:t>Net income attributable to noncontrolling interests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(1,129)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1,129 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tcMar>
              <w:top w:w="0" w:type="dxa"/>
              <w:left w:w="0" w:type="dxa"/>
              <w:bottom w:w="0" w:type="dxa"/>
              <w:right w:w="0" w:type="dxa"/>
            </w:tcMar>
            <w:vAlign w:val="center"/>
          </w:tcPr>
          <w:p>
            <w:pPr>
              <w:pStyle w:val="TableContents"/>
              <w:bidi w:val="0"/>
              <w:spacing w:lineRule="auto" w:line="264" w:before="0" w:after="0"/>
              <w:ind w:left="0" w:right="0" w:hanging="180"/>
              <w:jc w:val="left"/>
              <w:rPr>
                <w:rFonts w:ascii="Arial;sans-serif" w:hAnsi="Arial;sans-serif"/>
                <w:b w:val="false"/>
                <w:color w:val="000000"/>
                <w:sz w:val="15"/>
              </w:rPr>
            </w:pPr>
            <w:r>
              <w:rPr>
                <w:rFonts w:ascii="Arial;sans-serif" w:hAnsi="Arial;sans-serif"/>
                <w:b w:val="false"/>
                <w:color w:val="000000"/>
                <w:sz w:val="15"/>
              </w:rPr>
              <w:t>Net income attributable to redeemable noncontrolling interests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698 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Change in redemption value of redeemable noncontrolling interests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Noncontrolling interest capital contribution</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Distributions to noncontrolling interests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(941)</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Dividends on common stock</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(15,662)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(15,662)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Repurchase of Class B common stock</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(3,468)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(3,468)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Issuance of Class B common stock, net of restricted stock award forfeitures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9,431 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9,141 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18,572 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Shares withheld related to net share settlement</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Amortization of unearned stock compensation and stock option expense</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1,724 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1,724 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Other comprehensive income, net of income taxes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13,096 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13,096 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As of March 31, 2025</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20,000 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368,074 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8,039,982 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w:t>
            </w:r>
          </w:p>
        </w:tc>
        <w:tc>
          <w:tcPr>
            <w:tcW w:w="7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347,893 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w:t>
            </w:r>
          </w:p>
        </w:tc>
        <w:tc>
          <w:tcPr>
            <w:tcW w:w="8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(4,481,534)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31,350 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4,325,765 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w:t>
            </w:r>
          </w:p>
        </w:tc>
        <w:tc>
          <w:tcPr>
            <w:tcW w:w="6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43,586 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Net income for the period</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40,423 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40,423 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tcMar>
              <w:top w:w="0" w:type="dxa"/>
              <w:left w:w="0" w:type="dxa"/>
              <w:bottom w:w="0" w:type="dxa"/>
              <w:right w:w="0" w:type="dxa"/>
            </w:tcMar>
            <w:vAlign w:val="center"/>
          </w:tcPr>
          <w:p>
            <w:pPr>
              <w:pStyle w:val="TableContents"/>
              <w:bidi w:val="0"/>
              <w:spacing w:lineRule="auto" w:line="264" w:before="0" w:after="0"/>
              <w:ind w:left="0" w:right="0" w:hanging="180"/>
              <w:jc w:val="left"/>
              <w:rPr>
                <w:rFonts w:ascii="Arial;sans-serif" w:hAnsi="Arial;sans-serif"/>
                <w:b w:val="false"/>
                <w:color w:val="000000"/>
                <w:sz w:val="15"/>
              </w:rPr>
            </w:pPr>
            <w:r>
              <w:rPr>
                <w:rFonts w:ascii="Arial;sans-serif" w:hAnsi="Arial;sans-serif"/>
                <w:b w:val="false"/>
                <w:color w:val="000000"/>
                <w:sz w:val="15"/>
              </w:rPr>
              <w:t>Net income attributable to noncontrolling interests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(2,030)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2,030 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tcMar>
              <w:top w:w="0" w:type="dxa"/>
              <w:left w:w="0" w:type="dxa"/>
              <w:bottom w:w="0" w:type="dxa"/>
              <w:right w:w="0" w:type="dxa"/>
            </w:tcMar>
            <w:vAlign w:val="center"/>
          </w:tcPr>
          <w:p>
            <w:pPr>
              <w:pStyle w:val="TableContents"/>
              <w:bidi w:val="0"/>
              <w:spacing w:lineRule="auto" w:line="264" w:before="0" w:after="0"/>
              <w:ind w:left="0" w:right="0" w:hanging="180"/>
              <w:jc w:val="left"/>
              <w:rPr>
                <w:rFonts w:ascii="Arial;sans-serif" w:hAnsi="Arial;sans-serif"/>
                <w:b w:val="false"/>
                <w:color w:val="000000"/>
                <w:sz w:val="15"/>
              </w:rPr>
            </w:pPr>
            <w:r>
              <w:rPr>
                <w:rFonts w:ascii="Arial;sans-serif" w:hAnsi="Arial;sans-serif"/>
                <w:b w:val="false"/>
                <w:color w:val="000000"/>
                <w:sz w:val="15"/>
              </w:rPr>
              <w:t>Net income attributable to redeemable noncontrolling interests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(1,644)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(1,644)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1,644 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tcMar>
              <w:top w:w="0" w:type="dxa"/>
              <w:left w:w="0" w:type="dxa"/>
              <w:bottom w:w="0" w:type="dxa"/>
              <w:right w:w="0" w:type="dxa"/>
            </w:tcMar>
            <w:vAlign w:val="center"/>
          </w:tcPr>
          <w:p>
            <w:pPr>
              <w:pStyle w:val="TableContents"/>
              <w:bidi w:val="0"/>
              <w:spacing w:lineRule="auto" w:line="264" w:before="0" w:after="0"/>
              <w:ind w:left="0" w:right="0" w:hanging="180"/>
              <w:jc w:val="left"/>
              <w:rPr>
                <w:rFonts w:ascii="Arial;sans-serif" w:hAnsi="Arial;sans-serif"/>
                <w:b w:val="false"/>
                <w:color w:val="000000"/>
                <w:sz w:val="15"/>
              </w:rPr>
            </w:pPr>
            <w:r>
              <w:rPr>
                <w:rFonts w:ascii="Arial;sans-serif" w:hAnsi="Arial;sans-serif"/>
                <w:b w:val="false"/>
                <w:color w:val="000000"/>
                <w:sz w:val="15"/>
              </w:rPr>
              <w:t>Change in redemption value of redeemable noncontrolling interests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(4,971)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(4,329)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4,977 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Distributions to noncontrolling interests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(1,371)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(1,371)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(338)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Dividends on common stock</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(7,846)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(7,846)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9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Forfeiture of restricted stock awards, net of Class B common stock issuances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tcMar>
              <w:top w:w="0" w:type="dxa"/>
              <w:left w:w="0" w:type="dxa"/>
              <w:bottom w:w="0" w:type="dxa"/>
              <w:right w:w="0" w:type="dxa"/>
            </w:tcMar>
            <w:vAlign w:val="center"/>
          </w:tcPr>
          <w:p>
            <w:pPr>
              <w:pStyle w:val="TableContents"/>
              <w:bidi w:val="0"/>
              <w:spacing w:lineRule="auto" w:line="264" w:before="0" w:after="0"/>
              <w:ind w:left="0" w:right="0" w:hanging="180"/>
              <w:jc w:val="left"/>
              <w:rPr>
                <w:rFonts w:ascii="Arial;sans-serif" w:hAnsi="Arial;sans-serif"/>
                <w:b w:val="false"/>
                <w:color w:val="000000"/>
                <w:sz w:val="15"/>
              </w:rPr>
            </w:pPr>
            <w:r>
              <w:rPr>
                <w:rFonts w:ascii="Arial;sans-serif" w:hAnsi="Arial;sans-serif"/>
                <w:b w:val="false"/>
                <w:color w:val="000000"/>
                <w:sz w:val="15"/>
              </w:rPr>
              <w:t>Amortization of unearned stock compensation and stock option expense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1,696 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1,696 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Other comprehensive income, net of income taxes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31,990 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31,990 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As of June 30, 2025</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20,000 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364,793 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8,068,885 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w:t>
            </w:r>
          </w:p>
        </w:tc>
        <w:tc>
          <w:tcPr>
            <w:tcW w:w="7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379,883 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w:t>
            </w:r>
          </w:p>
        </w:tc>
        <w:tc>
          <w:tcPr>
            <w:tcW w:w="8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(4,481,658)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32,651 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4,384,554 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5"/>
              </w:rPr>
            </w:pPr>
            <w:r>
              <w:rPr>
                <w:rFonts w:ascii="Arial;sans-serif" w:hAnsi="Arial;sans-serif"/>
                <w:b w:val="false"/>
                <w:color w:val="000000"/>
                <w:sz w:val="15"/>
              </w:rPr>
              <w:t>$</w:t>
            </w:r>
          </w:p>
        </w:tc>
        <w:tc>
          <w:tcPr>
            <w:tcW w:w="6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5"/>
              </w:rPr>
            </w:pPr>
            <w:r>
              <w:rPr>
                <w:rFonts w:ascii="Arial;sans-serif" w:hAnsi="Arial;sans-serif"/>
                <w:b w:val="false"/>
                <w:color w:val="000000"/>
                <w:sz w:val="15"/>
              </w:rPr>
              <w:t>49,869 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180"/>
        <w:jc w:val="center"/>
        <w:rPr>
          <w:rFonts w:ascii="Arial;sans-serif" w:hAnsi="Arial;sans-serif"/>
          <w:b/>
          <w:color w:val="000000"/>
          <w:sz w:val="20"/>
        </w:rPr>
      </w:pPr>
      <w:r>
        <w:rPr>
          <w:rFonts w:ascii="Arial;sans-serif" w:hAnsi="Arial;sans-serif"/>
          <w:b/>
          <w:color w:val="000000"/>
          <w:sz w:val="20"/>
        </w:rPr>
        <w:t>GRAHAM HOLDINGS COMPANY</w:t>
      </w:r>
    </w:p>
    <w:p>
      <w:pPr>
        <w:pStyle w:val="TextBody"/>
        <w:bidi w:val="0"/>
        <w:spacing w:lineRule="auto" w:line="264"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64" w:before="0" w:after="18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rPr>
      </w:pPr>
      <w:r>
        <w:rPr>
          <w:rFonts w:ascii="Arial;sans-serif" w:hAnsi="Arial;sans-serif"/>
          <w:b/>
          <w:color w:val="000000"/>
          <w:sz w:val="20"/>
        </w:rPr>
        <w:t>1. ORGANIZATION, BASIS OF PRESENTATION AND RECENT ACCOUNTING PRONOUNCEMENTS</w:t>
      </w:r>
    </w:p>
    <w:p>
      <w:pPr>
        <w:pStyle w:val="TextBody"/>
        <w:bidi w:val="0"/>
        <w:spacing w:lineRule="auto" w:line="256" w:before="0" w:after="180"/>
        <w:jc w:val="left"/>
        <w:rPr>
          <w:rFonts w:ascii="Arial;sans-serif" w:hAnsi="Arial;sans-serif"/>
          <w:b w:val="false"/>
          <w:color w:val="000000"/>
          <w:sz w:val="20"/>
        </w:rPr>
      </w:pPr>
      <w:r>
        <w:rPr>
          <w:rFonts w:ascii="Arial;sans-serif" w:hAnsi="Arial;sans-serif"/>
          <w:b w:val="false"/>
          <w:color w:val="000000"/>
          <w:sz w:val="20"/>
        </w:rPr>
        <w:t xml:space="preserve">Graham Holdings Company (the Company), is a diversified holding company whose operations include educational services, television broadcasting, healthcare, manufacturing, automotive dealerships and other businesses. </w:t>
      </w:r>
    </w:p>
    <w:p>
      <w:pPr>
        <w:pStyle w:val="TextBody"/>
        <w:bidi w:val="0"/>
        <w:spacing w:lineRule="auto" w:line="256" w:before="0" w:after="180"/>
        <w:jc w:val="left"/>
        <w:rPr>
          <w:rFonts w:ascii="Arial;sans-serif" w:hAnsi="Arial;sans-serif"/>
          <w:b w:val="false"/>
          <w:color w:val="000000"/>
          <w:sz w:val="20"/>
        </w:rPr>
      </w:pPr>
      <w:r>
        <w:rPr>
          <w:rFonts w:ascii="Arial;sans-serif" w:hAnsi="Arial;sans-serif"/>
          <w:b w:val="false"/>
          <w:color w:val="000000"/>
          <w:sz w:val="20"/>
        </w:rPr>
        <w:t xml:space="preserve">Through Kaplan, Inc. (Kaplan), the Company provides a wide variety of educational services to students, schools, colleges, universities and businesses, both domestically and outside the United States (U.S.). Kaplan’s educational services include academic preparation programs for international students; operations support services for pre-college, certificate, undergraduate and graduate programs; exam preparation for high school and graduate students and for professional certifications and licensures; career and academic advisement services to businesses; and a United Kingdom (U.K.) sixth-form college that prepares students for A-level examinations. </w:t>
      </w:r>
    </w:p>
    <w:p>
      <w:pPr>
        <w:pStyle w:val="TextBody"/>
        <w:bidi w:val="0"/>
        <w:spacing w:lineRule="auto" w:line="264" w:before="0" w:after="0"/>
        <w:jc w:val="left"/>
        <w:rPr>
          <w:rFonts w:ascii="Arial;sans-serif" w:hAnsi="Arial;sans-serif"/>
          <w:b w:val="false"/>
          <w:color w:val="000000"/>
          <w:sz w:val="20"/>
        </w:rPr>
      </w:pPr>
      <w:r>
        <w:rPr>
          <w:rFonts w:ascii="Arial;sans-serif" w:hAnsi="Arial;sans-serif"/>
          <w:b w:val="false"/>
          <w:color w:val="000000"/>
          <w:sz w:val="20"/>
        </w:rPr>
        <w:t xml:space="preserve">The Company’s television broadcasting segment owns and operates seven television broadcasting stations and provides social media management tools designed to connect newsrooms with their users. </w:t>
      </w:r>
    </w:p>
    <w:p>
      <w:pPr>
        <w:pStyle w:val="TextBody"/>
        <w:bidi w:val="0"/>
        <w:spacing w:before="0" w:after="0"/>
        <w:jc w:val="left"/>
        <w:rPr/>
      </w:pPr>
      <w:r>
        <w:rPr/>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Company’s healthcare division provides in-home specialty pharmacy infusion therapies; home health, hospice and palliative services; physician services for allergy, asthma and immunology patients; in-home aesthetics; applied behavior analysis therapy; and healthcare software-as-a-service technology.</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 xml:space="preserve">The Company’s manufacturing companies include a supplier of pressure-treated wood and aluminum cladding products, a manufacturer of electrical solutions, a manufacturer of lifting solutions, and a supplier of parts used in electric utilities and industrial systems. </w:t>
      </w:r>
    </w:p>
    <w:p>
      <w:pPr>
        <w:pStyle w:val="TextBody"/>
        <w:bidi w:val="0"/>
        <w:spacing w:lineRule="auto" w:line="264" w:before="0" w:after="180"/>
        <w:jc w:val="left"/>
        <w:rPr/>
      </w:pPr>
      <w:r>
        <w:rPr>
          <w:rFonts w:ascii="Arial;sans-serif" w:hAnsi="Arial;sans-serif"/>
          <w:b w:val="false"/>
          <w:color w:val="000000"/>
          <w:sz w:val="20"/>
        </w:rPr>
        <w:t xml:space="preserve">The Company’s automotive business comprises </w:t>
      </w:r>
      <w:r>
        <w:rPr>
          <w:rFonts w:ascii="Arial;sans-serif" w:hAnsi="Arial;sans-serif"/>
          <w:b w:val="false"/>
          <w:color w:val="000000"/>
          <w:sz w:val="20"/>
          <w:shd w:fill="FFFFFF" w:val="clear"/>
        </w:rPr>
        <w:t xml:space="preserve">eight dealerships and valet repair services. </w:t>
      </w:r>
    </w:p>
    <w:p>
      <w:pPr>
        <w:pStyle w:val="TextBody"/>
        <w:bidi w:val="0"/>
        <w:spacing w:lineRule="auto" w:line="264" w:before="0" w:after="180"/>
        <w:jc w:val="left"/>
        <w:rPr/>
      </w:pPr>
      <w:r>
        <w:rPr>
          <w:rFonts w:ascii="Arial;sans-serif" w:hAnsi="Arial;sans-serif"/>
          <w:b w:val="false"/>
          <w:color w:val="000000"/>
          <w:sz w:val="20"/>
        </w:rPr>
        <w:t xml:space="preserve">The Company’s other businesses include restaurants; a custom framing company; a marketing solutions provider; a customer data and analytics software company; </w:t>
      </w:r>
      <w:r>
        <w:rPr>
          <w:rFonts w:ascii="Arial;sans-serif" w:hAnsi="Arial;sans-serif"/>
          <w:b w:val="false"/>
          <w:i/>
          <w:color w:val="000000"/>
          <w:sz w:val="20"/>
        </w:rPr>
        <w:t>Slate</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Foreign Policy</w:t>
      </w:r>
      <w:r>
        <w:rPr>
          <w:color w:val="000000"/>
        </w:rPr>
        <w:t xml:space="preserve"> </w:t>
      </w:r>
      <w:r>
        <w:rPr>
          <w:rFonts w:ascii="Arial;sans-serif" w:hAnsi="Arial;sans-serif"/>
          <w:b w:val="false"/>
          <w:color w:val="000000"/>
          <w:sz w:val="20"/>
        </w:rPr>
        <w:t>magazines; a daily local news podcast and newsletter company; a company that provides a software-as-a-service platform that enables podcasters and media companies to monetize audio content through paid subscriptions, memberships, and audiobooks; an online art gallery and in-person art fair business; and an online commerce platform featuring original art and designs on an array of consumer products.</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On February 1, 2026, Kaplan entered into a Share Purchase Agreement to sell its Kaplan Languages Group (KLG) business, consisting of more than 20 language schools in eight countries. The transaction closed on May 1, 2026.</w:t>
      </w:r>
    </w:p>
    <w:p>
      <w:pPr>
        <w:pStyle w:val="TextBody"/>
        <w:bidi w:val="0"/>
        <w:spacing w:lineRule="auto" w:line="264" w:before="0" w:after="180"/>
        <w:jc w:val="left"/>
        <w:rPr/>
      </w:pPr>
      <w:r>
        <w:rPr>
          <w:rFonts w:ascii="Arial;sans-serif" w:hAnsi="Arial;sans-serif"/>
          <w:b/>
          <w:color w:val="000000"/>
          <w:sz w:val="20"/>
        </w:rPr>
        <w:t>Basis of Presentation</w:t>
      </w:r>
      <w:r>
        <w:rPr>
          <w:color w:val="000000"/>
        </w:rPr>
        <w:t xml:space="preserve"> – </w:t>
      </w:r>
      <w:r>
        <w:rPr>
          <w:rFonts w:ascii="Arial;sans-serif" w:hAnsi="Arial;sans-serif"/>
          <w:b w:val="false"/>
          <w:color w:val="000000"/>
          <w:sz w:val="20"/>
        </w:rPr>
        <w:t>The accompanying condensed consolidated financial statements have been prepared in accordance with: (i) generally accepted accounting principles in the United States of America (GAAP) for interim financial information; (ii) the instructions to Form 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statement of the Company’s financial position, results of operations, and cash flows as of and for the periods presented herein. The Company’s results of operations for the three and six months ended June 30, 2026 and 2025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2025.</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year-end condensed consolidated balance sheet data was derived from audited financial statements, but does not include all disclosures required by GAAP.</w:t>
      </w:r>
    </w:p>
    <w:p>
      <w:pPr>
        <w:pStyle w:val="TextBody"/>
        <w:bidi w:val="0"/>
        <w:spacing w:lineRule="auto" w:line="264" w:before="0" w:after="180"/>
        <w:jc w:val="left"/>
        <w:rPr/>
      </w:pPr>
      <w:r>
        <w:rPr>
          <w:rFonts w:ascii="Arial;sans-serif" w:hAnsi="Arial;sans-serif"/>
          <w:b/>
          <w:color w:val="000000"/>
          <w:sz w:val="20"/>
        </w:rPr>
        <w:t>Use of Estimates in the Preparation of the Condensed Consolidated Financial Statements</w:t>
      </w:r>
      <w:r>
        <w:rPr>
          <w:color w:val="000000"/>
        </w:rPr>
        <w:t xml:space="preserve"> – </w:t>
      </w:r>
      <w:r>
        <w:rPr>
          <w:rFonts w:ascii="Arial;sans-serif" w:hAnsi="Arial;sans-serif"/>
          <w:b w:val="false"/>
          <w:color w:val="000000"/>
          <w:sz w:val="20"/>
        </w:rPr>
        <w:t>The preparation of the condensed consolidated financial 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180"/>
        <w:jc w:val="left"/>
        <w:rPr/>
      </w:pPr>
      <w:r>
        <w:rPr>
          <w:rFonts w:ascii="Arial;sans-serif" w:hAnsi="Arial;sans-serif"/>
          <w:b/>
          <w:color w:val="000000"/>
          <w:sz w:val="20"/>
        </w:rPr>
        <w:t>Recently Adopted and Issued Accounting Pronouncements</w:t>
      </w:r>
      <w:r>
        <w:rPr>
          <w:color w:val="000000"/>
        </w:rPr>
        <w:t xml:space="preserve"> – </w:t>
      </w:r>
      <w:r>
        <w:rPr>
          <w:rFonts w:ascii="Arial;sans-serif" w:hAnsi="Arial;sans-serif"/>
          <w:b w:val="false"/>
          <w:color w:val="000000"/>
          <w:sz w:val="20"/>
        </w:rPr>
        <w:t>In November 2024, the Financial Accounting Standards Board (FASB) issued new guidance that requires disclosures about certain significant expense categories including inventory purchases, employee compensation, depreciation, amortization, and selling expenses. The guidance is effective for fiscal years beginning after December 15, 2026, and interim periods within fiscal years beginning after December 15, 2027. Early adoption is permitted. The Company is in the process of evaluating the impact of this new guidance on the disclosures within its Condensed Consolidated Financial Statements.</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In September 2025, FASB issued new guidance which updates the accounting for internal-use software by removing references to software development project stages and adding new criteria to determine when an entity is required to start capitalizing internal-use software costs. The guidance is effective for fiscal years and interim periods beginning after December 15, 2027. Early adoption is permitted. The Company is in the process of evaluating the impact of this new guidance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rPr>
      </w:pPr>
      <w:r>
        <w:rPr>
          <w:rFonts w:ascii="Arial;sans-serif" w:hAnsi="Arial;sans-serif"/>
          <w:b/>
          <w:color w:val="000000"/>
          <w:sz w:val="20"/>
        </w:rPr>
        <w:t>2. ACQUISITIONS AND DISPOSITIONS OF BUSINESSES</w:t>
      </w:r>
    </w:p>
    <w:p>
      <w:pPr>
        <w:pStyle w:val="TextBody"/>
        <w:bidi w:val="0"/>
        <w:spacing w:lineRule="auto" w:line="264" w:before="0" w:after="180"/>
        <w:jc w:val="left"/>
        <w:rPr/>
      </w:pPr>
      <w:r>
        <w:rPr>
          <w:rFonts w:ascii="Arial;sans-serif" w:hAnsi="Arial;sans-serif"/>
          <w:b/>
          <w:color w:val="000000"/>
          <w:sz w:val="20"/>
        </w:rPr>
        <w:t>Acquisitions.</w:t>
      </w:r>
      <w:r>
        <w:rPr>
          <w:color w:val="000000"/>
        </w:rPr>
        <w:t xml:space="preserve"> </w:t>
      </w:r>
      <w:r>
        <w:rPr>
          <w:rFonts w:ascii="Arial;sans-serif" w:hAnsi="Arial;sans-serif"/>
          <w:b w:val="false"/>
          <w:color w:val="000000"/>
          <w:sz w:val="20"/>
        </w:rPr>
        <w:t>In March 2026, the Company acquired one small business which is included in other healthcare businesses. The assets and liabilities of the company acquired were recorded at their estimated fair values at the date of acquisition.</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During 2025, the Company acquired five businesses: one in education, two in other healthcare businesses, one in manufacturing and one in automotive for $71.2 million in cash and the assumption of floor plan payables and $107.5 million in net pension obligations. The assets and liabilities of the companies acquired were recorded at their estimated fair values at the date of acquisition.</w:t>
      </w:r>
    </w:p>
    <w:p>
      <w:pPr>
        <w:pStyle w:val="TextBody"/>
        <w:bidi w:val="0"/>
        <w:spacing w:lineRule="auto" w:line="264" w:before="0" w:after="180"/>
        <w:jc w:val="left"/>
        <w:rPr/>
      </w:pPr>
      <w:r>
        <w:rPr>
          <w:rFonts w:ascii="Arial;sans-serif" w:hAnsi="Arial;sans-serif"/>
          <w:b w:val="false"/>
          <w:color w:val="000000"/>
          <w:sz w:val="20"/>
          <w:shd w:fill="FFFFFF" w:val="clear"/>
        </w:rPr>
        <w:t xml:space="preserve">In June 2025, Kaplan acquired </w:t>
      </w:r>
      <w:r>
        <w:rPr>
          <w:rFonts w:ascii="Arial;sans-serif" w:hAnsi="Arial;sans-serif"/>
          <w:b w:val="false"/>
          <w:color w:val="000000"/>
          <w:sz w:val="20"/>
        </w:rPr>
        <w:t>one</w:t>
      </w:r>
      <w:r>
        <w:rPr>
          <w:color w:val="000000"/>
          <w:shd w:fill="FFFFFF" w:val="clear"/>
        </w:rPr>
        <w:t xml:space="preserve"> </w:t>
      </w:r>
      <w:r>
        <w:rPr>
          <w:rFonts w:ascii="Arial;sans-serif" w:hAnsi="Arial;sans-serif"/>
          <w:b w:val="false"/>
          <w:color w:val="000000"/>
          <w:sz w:val="20"/>
          <w:shd w:fill="FFFFFF" w:val="clear"/>
        </w:rPr>
        <w:t>small business which is included in its supplemental education division.</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In July 2025, Hoover acquired 100% of Arconic Architectural Products, LLC, a wholly-owned subsidiary of Arconic Corporation, which manufactures aluminum cladding products and operates within the broader non-residential materials space from its facility in Eastman, GA. A significant portion of the purchase price was funded by the Company’s assumption of certain pension obligations. The acquisition expands Hoover’s product offerings and is included in manufacturing.</w:t>
      </w:r>
    </w:p>
    <w:p>
      <w:pPr>
        <w:pStyle w:val="TextBody"/>
        <w:bidi w:val="0"/>
        <w:spacing w:lineRule="auto" w:line="264" w:before="0" w:after="180"/>
        <w:jc w:val="left"/>
        <w:rPr/>
      </w:pPr>
      <w:r>
        <w:rPr>
          <w:rFonts w:ascii="Arial;sans-serif" w:hAnsi="Arial;sans-serif"/>
          <w:b w:val="false"/>
          <w:color w:val="000000"/>
          <w:sz w:val="20"/>
          <w:shd w:fill="FFFFFF" w:val="clear"/>
        </w:rPr>
        <w:t xml:space="preserve">In October 2025, </w:t>
      </w:r>
      <w:r>
        <w:rPr>
          <w:rFonts w:ascii="Arial;sans-serif" w:hAnsi="Arial;sans-serif"/>
          <w:b w:val="false"/>
          <w:color w:val="000000"/>
          <w:sz w:val="20"/>
        </w:rPr>
        <w:t>Graham Healthcare Group (GHG)</w:t>
      </w:r>
      <w:r>
        <w:rPr>
          <w:color w:val="000000"/>
          <w:shd w:fill="FFFFFF" w:val="clear"/>
        </w:rPr>
        <w:t xml:space="preserve"> </w:t>
      </w:r>
      <w:r>
        <w:rPr>
          <w:rFonts w:ascii="Arial;sans-serif" w:hAnsi="Arial;sans-serif"/>
          <w:b w:val="false"/>
          <w:color w:val="000000"/>
          <w:sz w:val="20"/>
          <w:shd w:fill="FFFFFF" w:val="clear"/>
        </w:rPr>
        <w:t xml:space="preserve">acquired </w:t>
      </w:r>
      <w:r>
        <w:rPr>
          <w:rFonts w:ascii="Arial;sans-serif" w:hAnsi="Arial;sans-serif"/>
          <w:b w:val="false"/>
          <w:color w:val="000000"/>
          <w:sz w:val="20"/>
        </w:rPr>
        <w:t>two small businesses which are included in other healthcare businesses.</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In October 2025, the Company’s automotive subsidiary acquired a Honda automotive dealership, including the real property for the dealership operations. In addition to a cash payment and the assumption of $4.9 million in floor plan payables, the automotive subsidiary borrowed $38.7 million under the delayed draw term loan to finance the acquisition (see Note 7). The dealership is operated and managed by an entity affiliated with Christopher J. Ourisman, a member of the Ourisman Automotive Group family of dealerships. This acquisition expands the Company’s automotive business operations and is included in automotive.</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Acquisition-related costs for the acquisitions that closed during the first six months of 2026 and 2025 were expensed as incurred. The aggregate purchase price of the 2025 acquisitions was allocated as follows, based on the acquisition date fair values to the following assets and liabilities:</w:t>
      </w:r>
    </w:p>
    <w:tbl>
      <w:tblPr>
        <w:tblW w:w="6795" w:type="dxa"/>
        <w:jc w:val="left"/>
        <w:tblInd w:w="0" w:type="dxa"/>
        <w:tblLayout w:type="fixed"/>
        <w:tblCellMar>
          <w:top w:w="28" w:type="dxa"/>
          <w:left w:w="28" w:type="dxa"/>
          <w:bottom w:w="28" w:type="dxa"/>
          <w:right w:w="28" w:type="dxa"/>
        </w:tblCellMar>
      </w:tblPr>
      <w:tblGrid>
        <w:gridCol w:w="1515"/>
        <w:gridCol w:w="1331"/>
        <w:gridCol w:w="1339"/>
        <w:gridCol w:w="109"/>
        <w:gridCol w:w="109"/>
        <w:gridCol w:w="109"/>
        <w:gridCol w:w="109"/>
        <w:gridCol w:w="422"/>
        <w:gridCol w:w="1444"/>
        <w:gridCol w:w="308"/>
      </w:tblGrid>
      <w:tr>
        <w:trPr/>
        <w:tc>
          <w:tcPr>
            <w:tcW w:w="1515"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Purchase Price Allocation</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Year Ended</w:t>
            </w:r>
          </w:p>
        </w:tc>
      </w:tr>
      <w:tr>
        <w:trPr/>
        <w:tc>
          <w:tcPr>
            <w:tcW w:w="418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4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1444"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11,641 </w:t>
            </w:r>
          </w:p>
        </w:tc>
        <w:tc>
          <w:tcPr>
            <w:tcW w:w="3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Inventory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32,731 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35,920 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Lease 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3,642 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51,943 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Indefinite-lived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15,500 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Amortized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41,300 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Deferred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13,947 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Pension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(107,517)</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Floor plan payables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(4,939)</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(18,371)</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Current and noncurrent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(4,783)</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4"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4"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shd w:fill="FFFFFF" w:val="clear"/>
              </w:rPr>
            </w:pPr>
            <w:r>
              <w:rPr>
                <w:rFonts w:ascii="Arial;sans-serif" w:hAnsi="Arial;sans-serif"/>
                <w:b/>
                <w:color w:val="000000"/>
                <w:sz w:val="18"/>
                <w:shd w:fill="FFFFFF" w:val="clear"/>
              </w:rPr>
              <w:t>Aggregate purchase price, net of cash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144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71,235 </w:t>
            </w:r>
          </w:p>
        </w:tc>
        <w:tc>
          <w:tcPr>
            <w:tcW w:w="30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180"/>
        <w:jc w:val="left"/>
        <w:rPr/>
      </w:pPr>
      <w:r>
        <w:rPr>
          <w:rFonts w:ascii="Arial;sans-serif" w:hAnsi="Arial;sans-serif"/>
          <w:b w:val="false"/>
          <w:color w:val="000000"/>
          <w:sz w:val="20"/>
        </w:rPr>
        <w:t>Goodwill is calculated as the excess of the consideration transferred over the net assets recognized and represents the estimated future economic benefits arising from other assets acquired that could not be individually identified and separately recognized. The goodwill recorded due to these acquisitions is attributabl</w:t>
      </w:r>
      <w:r>
        <w:rPr>
          <w:rFonts w:ascii="Arial;sans-serif" w:hAnsi="Arial;sans-serif"/>
          <w:b w:val="false"/>
          <w:color w:val="000000"/>
          <w:sz w:val="20"/>
          <w:shd w:fill="FFFFFF" w:val="clear"/>
        </w:rPr>
        <w:t xml:space="preserve">e to the assembled workforces of the </w:t>
      </w:r>
      <w:r>
        <w:rPr>
          <w:rFonts w:ascii="Arial;sans-serif" w:hAnsi="Arial;sans-serif"/>
          <w:b w:val="false"/>
          <w:color w:val="000000"/>
          <w:sz w:val="20"/>
        </w:rPr>
        <w:t>acquired companies and expected synergies. The Company expects to deduct $12.4 million of goodwill for income tax purposes for the acquisitions completed in 2025.</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acquired companies were consolidated into the Company’s financial statements starting on their respective acquisition dates. The following unaudited pro forma financial information includes the 2025 acquisitions as if they occurred at the beginning of 2024:</w:t>
      </w:r>
    </w:p>
    <w:tbl>
      <w:tblPr>
        <w:tblW w:w="5936" w:type="dxa"/>
        <w:jc w:val="left"/>
        <w:tblInd w:w="0" w:type="dxa"/>
        <w:tblLayout w:type="fixed"/>
        <w:tblCellMar>
          <w:top w:w="28" w:type="dxa"/>
          <w:left w:w="28" w:type="dxa"/>
          <w:bottom w:w="28" w:type="dxa"/>
          <w:right w:w="28" w:type="dxa"/>
        </w:tblCellMar>
      </w:tblPr>
      <w:tblGrid>
        <w:gridCol w:w="630"/>
        <w:gridCol w:w="553"/>
        <w:gridCol w:w="556"/>
        <w:gridCol w:w="109"/>
        <w:gridCol w:w="109"/>
        <w:gridCol w:w="293"/>
        <w:gridCol w:w="1356"/>
        <w:gridCol w:w="151"/>
        <w:gridCol w:w="109"/>
        <w:gridCol w:w="109"/>
        <w:gridCol w:w="109"/>
        <w:gridCol w:w="109"/>
        <w:gridCol w:w="109"/>
        <w:gridCol w:w="257"/>
        <w:gridCol w:w="1190"/>
        <w:gridCol w:w="187"/>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Six Months Ended </w:t>
              <w:br/>
              <w:t> June 30</w:t>
            </w:r>
          </w:p>
        </w:tc>
      </w:tr>
      <w:tr>
        <w:trPr/>
        <w:tc>
          <w:tcPr>
            <w:tcW w:w="173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1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Operating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1,263,248 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0"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2,476,640 </w:t>
            </w:r>
          </w:p>
        </w:tc>
        <w:tc>
          <w:tcPr>
            <w:tcW w:w="1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42,008 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69,343 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pre-acquisition transaction related expenses incurred by the Company and the acquired entities. The pro forma information does not include efficiencies, cost reductions and synergies expected to result from the acquisitions. They are not the results that would have been realized had these entities been part of the Company during the periods presented and are not necessarily indicative of the Company’s consolidated results of operations in future periods.</w:t>
      </w:r>
    </w:p>
    <w:p>
      <w:pPr>
        <w:pStyle w:val="TextBody"/>
        <w:bidi w:val="0"/>
        <w:spacing w:lineRule="auto" w:line="264" w:before="0" w:after="180"/>
        <w:jc w:val="left"/>
        <w:rPr/>
      </w:pPr>
      <w:r>
        <w:rPr>
          <w:rFonts w:ascii="Arial;sans-serif" w:hAnsi="Arial;sans-serif"/>
          <w:b/>
          <w:color w:val="000000"/>
          <w:sz w:val="20"/>
        </w:rPr>
        <w:t>Disposition of Businesses.</w:t>
      </w:r>
      <w:r>
        <w:rPr>
          <w:color w:val="000000"/>
        </w:rPr>
        <w:t xml:space="preserve"> </w:t>
      </w:r>
      <w:r>
        <w:rPr>
          <w:rFonts w:ascii="Arial;sans-serif" w:hAnsi="Arial;sans-serif"/>
          <w:b w:val="false"/>
          <w:color w:val="000000"/>
          <w:sz w:val="20"/>
        </w:rPr>
        <w:t>In May 2026, Kaplan completed the sale of the KLG business, which is included in Kaplan International. As a result of the sale, the Company recorded a non-operating loss of $5.2 million in the second quarter of 2026 (see Note 13). KLG comprised Kaplan International Languages, Alpadia Language Schools, Azurlingua and English as a second language (ESL) Education. The assets and liabilities of KLG had previously been classified as held for sale in the Company’s Condensed Consolidated Balance Sheet as of March 31, 2026.</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During the first quarter of 2026, upon classifying the KLG disposal group as held for sale, the Company recognized total impairment charges of $19.0 million, consisting of a $1.0 million goodwill impairment charge and an $18.0 million impairment charge related to the asset group held for sale.</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In early September 2025, the Company ceased operations of the Ourisman Jeep of Bethesda dealership.</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In April 2025, Kaplan completed the sale of a small business, BridgeU Limited, which was included in Kaplan International.</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In the first half of 2025, World of Good Brands (WGB) completed the sale of various websites and related businesses that made up the WGB operations, which were included in other businesses. All remaining WGB operations were substantially shut down by the end of the third quarter of 2025.</w:t>
      </w:r>
    </w:p>
    <w:p>
      <w:pPr>
        <w:pStyle w:val="TextBody"/>
        <w:bidi w:val="0"/>
        <w:spacing w:lineRule="auto" w:line="264" w:before="0" w:after="180"/>
        <w:jc w:val="left"/>
        <w:rPr/>
      </w:pPr>
      <w:r>
        <w:rPr>
          <w:rFonts w:ascii="Arial;sans-serif" w:hAnsi="Arial;sans-serif"/>
          <w:b/>
          <w:color w:val="000000"/>
          <w:sz w:val="20"/>
        </w:rPr>
        <w:t>Other Transactions.</w:t>
      </w:r>
      <w:r>
        <w:rPr>
          <w:color w:val="000000"/>
          <w:shd w:fill="FFFFFF" w:val="clear"/>
        </w:rPr>
        <w:t xml:space="preserve"> </w:t>
      </w:r>
      <w:r>
        <w:rPr>
          <w:rFonts w:ascii="Arial;sans-serif" w:hAnsi="Arial;sans-serif"/>
          <w:b w:val="false"/>
          <w:color w:val="000000"/>
          <w:sz w:val="20"/>
          <w:shd w:fill="FFFFFF" w:val="clear"/>
        </w:rPr>
        <w:t xml:space="preserve">In March 2026, the Company acquired some of the minority-owned shares of CSI Pharmacy Holding Company, LLC (CSI) for a total amount of </w:t>
      </w:r>
      <w:r>
        <w:rPr>
          <w:rFonts w:ascii="Arial;sans-serif" w:hAnsi="Arial;sans-serif"/>
          <w:b w:val="false"/>
          <w:color w:val="000000"/>
          <w:sz w:val="20"/>
        </w:rPr>
        <w:t>$41.0 million. The Company paid cash of $16.4 million and entered into promissory notes with the minority owners for the remaining $24.6 million at an interest rate of 8% per annum. The notes are included in other indebtedness (see Note 7) and payable in quarterly installments with the final payment due on April 1, 2028. Following the redemption, the Company owns 93.4% of CSI.</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In January 2026, pursuant to the exercise of a put right, the Company purchased some of the minority-owned interest of Clarus for $1.0 million. Following the redemption, the Company owns 97.5% of Clarus.</w:t>
      </w:r>
    </w:p>
    <w:p>
      <w:pPr>
        <w:pStyle w:val="TextBody"/>
        <w:bidi w:val="0"/>
        <w:spacing w:lineRule="auto" w:line="264" w:before="0" w:after="180"/>
        <w:jc w:val="left"/>
        <w:rPr/>
      </w:pPr>
      <w:r>
        <w:rPr>
          <w:rFonts w:ascii="Arial;sans-serif" w:hAnsi="Arial;sans-serif"/>
          <w:b w:val="false"/>
          <w:color w:val="000000"/>
          <w:sz w:val="20"/>
          <w:shd w:fill="FFFFFF" w:val="clear"/>
        </w:rPr>
        <w:t xml:space="preserve">In October 2025, pursuant to the exercise of a put right, the Company purchased some of the minority-owned interest of Clarus for </w:t>
      </w:r>
      <w:r>
        <w:rPr>
          <w:rFonts w:ascii="Arial;sans-serif" w:hAnsi="Arial;sans-serif"/>
          <w:b w:val="false"/>
          <w:color w:val="000000"/>
          <w:sz w:val="20"/>
        </w:rPr>
        <w:t>$0.4 million. Following the redemption, the Company owned 95.75% of Clarus.</w:t>
      </w:r>
    </w:p>
    <w:p>
      <w:pPr>
        <w:pStyle w:val="TextBody"/>
        <w:bidi w:val="0"/>
        <w:spacing w:lineRule="auto" w:line="264" w:before="0" w:after="180"/>
        <w:jc w:val="left"/>
        <w:rPr/>
      </w:pPr>
      <w:r>
        <w:rPr>
          <w:rFonts w:ascii="Arial;sans-serif" w:hAnsi="Arial;sans-serif"/>
          <w:b w:val="false"/>
          <w:color w:val="000000"/>
          <w:sz w:val="20"/>
          <w:shd w:fill="FFFFFF" w:val="clear"/>
        </w:rPr>
        <w:t xml:space="preserve">In July 2025, CSI exercised its call option to purchase some of the minority-owned interest of CSI for </w:t>
      </w:r>
      <w:r>
        <w:rPr>
          <w:rFonts w:ascii="Arial;sans-serif" w:hAnsi="Arial;sans-serif"/>
          <w:b w:val="false"/>
          <w:color w:val="000000"/>
          <w:sz w:val="20"/>
        </w:rPr>
        <w:t>$1.8 million</w:t>
      </w:r>
      <w:r>
        <w:rPr>
          <w:rFonts w:ascii="Arial;sans-serif" w:hAnsi="Arial;sans-serif"/>
          <w:b w:val="false"/>
          <w:color w:val="000000"/>
          <w:sz w:val="20"/>
          <w:shd w:fill="FFFFFF" w:val="clear"/>
        </w:rPr>
        <w:t>.</w:t>
      </w:r>
    </w:p>
    <w:p>
      <w:pPr>
        <w:pStyle w:val="TextBody"/>
        <w:bidi w:val="0"/>
        <w:spacing w:lineRule="auto" w:line="264" w:before="0" w:after="180"/>
        <w:jc w:val="left"/>
        <w:rPr/>
      </w:pPr>
      <w:r>
        <w:rPr>
          <w:rFonts w:ascii="Arial;sans-serif" w:hAnsi="Arial;sans-serif"/>
          <w:b w:val="false"/>
          <w:color w:val="000000"/>
          <w:sz w:val="20"/>
          <w:shd w:fill="FFFFFF" w:val="clear"/>
        </w:rPr>
        <w:t xml:space="preserve">On February 25, 2025, the Company and a group of minority shareholders entered into an agreement to settle a significant portion of the mandatorily redeemable noncontrolling interest related to GHC One LLC (GHC One), including CSI, for a total of </w:t>
      </w:r>
      <w:r>
        <w:rPr>
          <w:rFonts w:ascii="Arial;sans-serif" w:hAnsi="Arial;sans-serif"/>
          <w:b w:val="false"/>
          <w:color w:val="000000"/>
          <w:sz w:val="20"/>
        </w:rPr>
        <w:t>$205 million</w:t>
      </w:r>
      <w:r>
        <w:rPr>
          <w:rFonts w:ascii="Arial;sans-serif" w:hAnsi="Arial;sans-serif"/>
          <w:b w:val="false"/>
          <w:color w:val="000000"/>
          <w:sz w:val="20"/>
          <w:shd w:fill="FFFFFF" w:val="clear"/>
        </w:rPr>
        <w:t xml:space="preserve">, which consisted of approximately </w:t>
      </w:r>
      <w:r>
        <w:rPr>
          <w:rFonts w:ascii="Arial;sans-serif" w:hAnsi="Arial;sans-serif"/>
          <w:b w:val="false"/>
          <w:color w:val="000000"/>
          <w:sz w:val="20"/>
        </w:rPr>
        <w:t>$186.25 million</w:t>
      </w:r>
      <w:r>
        <w:rPr>
          <w:color w:val="000000"/>
          <w:shd w:fill="FFFFFF" w:val="clear"/>
        </w:rPr>
        <w:t xml:space="preserve"> </w:t>
      </w:r>
      <w:r>
        <w:rPr>
          <w:rFonts w:ascii="Arial;sans-serif" w:hAnsi="Arial;sans-serif"/>
          <w:b w:val="false"/>
          <w:color w:val="000000"/>
          <w:sz w:val="20"/>
          <w:shd w:fill="FFFFFF" w:val="clear"/>
        </w:rPr>
        <w:t xml:space="preserve">in cash and </w:t>
      </w:r>
      <w:r>
        <w:rPr>
          <w:rFonts w:ascii="Arial;sans-serif" w:hAnsi="Arial;sans-serif"/>
          <w:b w:val="false"/>
          <w:color w:val="000000"/>
          <w:sz w:val="20"/>
        </w:rPr>
        <w:t>$18.75 million</w:t>
      </w:r>
      <w:r>
        <w:rPr>
          <w:color w:val="000000"/>
          <w:shd w:fill="FFFFFF" w:val="clear"/>
        </w:rPr>
        <w:t xml:space="preserve"> </w:t>
      </w:r>
      <w:r>
        <w:rPr>
          <w:rFonts w:ascii="Arial;sans-serif" w:hAnsi="Arial;sans-serif"/>
          <w:b w:val="false"/>
          <w:color w:val="000000"/>
          <w:sz w:val="20"/>
          <w:shd w:fill="FFFFFF" w:val="clear"/>
        </w:rPr>
        <w:t>in Graham Holdings Company Class B common stock.</w:t>
      </w:r>
    </w:p>
    <w:p>
      <w:pPr>
        <w:pStyle w:val="TextBody"/>
        <w:bidi w:val="0"/>
        <w:spacing w:lineRule="auto" w:line="264" w:before="0" w:after="180"/>
        <w:jc w:val="left"/>
        <w:rPr/>
      </w:pPr>
      <w:r>
        <w:rPr>
          <w:rFonts w:ascii="Arial;sans-serif" w:hAnsi="Arial;sans-serif"/>
          <w:b w:val="false"/>
          <w:color w:val="000000"/>
          <w:sz w:val="20"/>
          <w:shd w:fill="FFFFFF" w:val="clear"/>
        </w:rPr>
        <w:t xml:space="preserve">The settlement agreement resulted in a </w:t>
      </w:r>
      <w:r>
        <w:rPr>
          <w:rFonts w:ascii="Arial;sans-serif" w:hAnsi="Arial;sans-serif"/>
          <w:b w:val="false"/>
          <w:color w:val="000000"/>
          <w:sz w:val="20"/>
        </w:rPr>
        <w:t>$66.2 million</w:t>
      </w:r>
      <w:r>
        <w:rPr>
          <w:color w:val="000000"/>
          <w:shd w:fill="FFFFFF" w:val="clear"/>
        </w:rPr>
        <w:t xml:space="preserve"> </w:t>
      </w:r>
      <w:r>
        <w:rPr>
          <w:rFonts w:ascii="Arial;sans-serif" w:hAnsi="Arial;sans-serif"/>
          <w:b w:val="false"/>
          <w:color w:val="000000"/>
          <w:sz w:val="20"/>
          <w:shd w:fill="FFFFFF" w:val="clear"/>
        </w:rPr>
        <w:t xml:space="preserve">increase to the mandatorily redeemable noncontrolling interest obligation, which the Company recorded as interest expense in the first quarter of 2025. The remaining mandatorily redeemable noncontrolling interest obligation related to GHC One and GHC Two LLC (GHC Two) was </w:t>
      </w:r>
      <w:r>
        <w:rPr>
          <w:rFonts w:ascii="Arial;sans-serif" w:hAnsi="Arial;sans-serif"/>
          <w:b w:val="false"/>
          <w:color w:val="000000"/>
          <w:sz w:val="20"/>
        </w:rPr>
        <w:t>$7.4 million</w:t>
      </w:r>
      <w:r>
        <w:rPr>
          <w:color w:val="00000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180"/>
        <w:jc w:val="left"/>
        <w:rPr/>
      </w:pPr>
      <w:r>
        <w:rPr>
          <w:rFonts w:ascii="Arial;sans-serif" w:hAnsi="Arial;sans-serif"/>
          <w:b w:val="false"/>
          <w:color w:val="000000"/>
          <w:sz w:val="20"/>
          <w:shd w:fill="FFFFFF" w:val="clear"/>
        </w:rPr>
        <w:t>at June 30, 2026</w:t>
      </w:r>
      <w:r>
        <w:rPr>
          <w:rFonts w:ascii="Arial;sans-serif" w:hAnsi="Arial;sans-serif"/>
          <w:b w:val="false"/>
          <w:color w:val="000000"/>
          <w:sz w:val="20"/>
        </w:rPr>
        <w:t>, with $6.0 million included in current liabilities due to the expected dissolution of GHC One within one year.</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In December 2024, the Company acquired some of the minority-owned shares of CSI for a total estimated amount of $2.0 million. The Company paid cash of $0.6 million and entered into a promissory note with the minority owner for the remaining $1.4 million at an interest rate of 5.5% per annum. The note was included in other indebtedness (see Note 7) and was due and payable on January 31, 2026. Following the redemption, the Company owned 87.5% of CSI. Pursuant to the terms of the purchase agreement, the purchase price was finalized in December 2025, resulting in an additional amount payable of $0.1 million, plus interest at 5.5% per annum, to the minority owner. The note was subsequently paid in the first quarter of 2026.</w:t>
      </w:r>
    </w:p>
    <w:p>
      <w:pPr>
        <w:pStyle w:val="TextBody"/>
        <w:bidi w:val="0"/>
        <w:spacing w:lineRule="auto" w:line="264"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As of June 30, 2026, the Company holds a controlling financial interest in GHC One and GHC Two and therefore includes the assets, liabilities, results of operations and cash flows in its consolidated financial statements. GHC One acquired Clarus during 2019. GHC Two acquired Impact Medical during 2021 and Skin Clique and Surpass in 2022. The Company accounts for the minority ownership of the group of current and former senior managers in GHC One and GHC Two as a mandatorily redeemable noncontrolling interest (see Note 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rPr>
      </w:pPr>
      <w:r>
        <w:rPr>
          <w:rFonts w:ascii="Arial;sans-serif" w:hAnsi="Arial;sans-serif"/>
          <w:b/>
          <w:color w:val="000000"/>
          <w:sz w:val="20"/>
        </w:rPr>
        <w:t>3. INVESTMENTS</w:t>
      </w:r>
    </w:p>
    <w:p>
      <w:pPr>
        <w:pStyle w:val="TextBody"/>
        <w:bidi w:val="0"/>
        <w:spacing w:lineRule="auto" w:line="264" w:before="0" w:after="180"/>
        <w:jc w:val="left"/>
        <w:rPr/>
      </w:pPr>
      <w:r>
        <w:rPr>
          <w:rFonts w:ascii="Arial;sans-serif" w:hAnsi="Arial;sans-serif"/>
          <w:b/>
          <w:color w:val="000000"/>
          <w:sz w:val="20"/>
        </w:rPr>
        <w:t xml:space="preserve">Money Market Investments. </w:t>
      </w:r>
      <w:r>
        <w:rPr>
          <w:rFonts w:ascii="Arial;sans-serif" w:hAnsi="Arial;sans-serif"/>
          <w:b w:val="false"/>
          <w:color w:val="000000"/>
          <w:sz w:val="20"/>
        </w:rPr>
        <w:t xml:space="preserve">As of </w:t>
      </w:r>
      <w:r>
        <w:rPr>
          <w:rFonts w:ascii="Arial;sans-serif" w:hAnsi="Arial;sans-serif"/>
          <w:b w:val="false"/>
          <w:color w:val="000000"/>
          <w:sz w:val="20"/>
          <w:shd w:fill="FFFFFF" w:val="clear"/>
        </w:rPr>
        <w:t xml:space="preserve">June 30, 2026 and December 31, 2025, </w:t>
      </w:r>
      <w:r>
        <w:rPr>
          <w:rFonts w:ascii="Arial;sans-serif" w:hAnsi="Arial;sans-serif"/>
          <w:b w:val="false"/>
          <w:color w:val="000000"/>
          <w:sz w:val="20"/>
        </w:rPr>
        <w:t>the Company had money market investments of $7.3 million and $5.3 million, respectively, that are classified as cash and cash equivalents in the Company’s Condensed Consolidated Balance Sheets.</w:t>
      </w:r>
    </w:p>
    <w:p>
      <w:pPr>
        <w:pStyle w:val="TextBody"/>
        <w:bidi w:val="0"/>
        <w:spacing w:lineRule="auto" w:line="264" w:before="0" w:after="180"/>
        <w:jc w:val="left"/>
        <w:rPr/>
      </w:pPr>
      <w:r>
        <w:rPr>
          <w:rFonts w:ascii="Arial;sans-serif" w:hAnsi="Arial;sans-serif"/>
          <w:b/>
          <w:color w:val="000000"/>
          <w:sz w:val="20"/>
        </w:rPr>
        <w:t>Investments in Marketable Equity Securities.</w:t>
      </w:r>
      <w:r>
        <w:rPr>
          <w:color w:val="000000"/>
        </w:rPr>
        <w:t xml:space="preserve"> </w:t>
      </w:r>
      <w:r>
        <w:rPr>
          <w:rFonts w:ascii="Arial;sans-serif" w:hAnsi="Arial;sans-serif"/>
          <w:b w:val="false"/>
          <w:color w:val="000000"/>
          <w:sz w:val="20"/>
        </w:rPr>
        <w:t>Investments in marketable equity securities consist of the following:</w:t>
      </w:r>
    </w:p>
    <w:tbl>
      <w:tblPr>
        <w:tblW w:w="5063" w:type="dxa"/>
        <w:jc w:val="left"/>
        <w:tblInd w:w="0" w:type="dxa"/>
        <w:tblLayout w:type="fixed"/>
        <w:tblCellMar>
          <w:top w:w="28" w:type="dxa"/>
          <w:left w:w="28" w:type="dxa"/>
          <w:bottom w:w="28" w:type="dxa"/>
          <w:right w:w="28" w:type="dxa"/>
        </w:tblCellMar>
      </w:tblPr>
      <w:tblGrid>
        <w:gridCol w:w="755"/>
        <w:gridCol w:w="663"/>
        <w:gridCol w:w="666"/>
        <w:gridCol w:w="211"/>
        <w:gridCol w:w="991"/>
        <w:gridCol w:w="109"/>
        <w:gridCol w:w="109"/>
        <w:gridCol w:w="109"/>
        <w:gridCol w:w="109"/>
        <w:gridCol w:w="211"/>
        <w:gridCol w:w="976"/>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2979"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As of</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r>
      <w:tr>
        <w:trPr/>
        <w:tc>
          <w:tcPr>
            <w:tcW w:w="2084"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16"/>
              </w:rPr>
            </w:pPr>
            <w:r>
              <w:rPr>
                <w:rFonts w:ascii="Arial;sans-serif" w:hAnsi="Arial;sans-serif"/>
                <w:b w:val="false"/>
                <w:color w:val="000000"/>
                <w:sz w:val="16"/>
              </w:rPr>
              <w:t>(in thousands)</w:t>
            </w:r>
          </w:p>
        </w:tc>
        <w:tc>
          <w:tcPr>
            <w:tcW w:w="13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2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Total cost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271,013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256,897 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Gross unrealized gains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828,045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845,889 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Gross unrealized losses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(15,966)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(20,848)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color w:val="000000"/>
                <w:sz w:val="18"/>
              </w:rPr>
            </w:pPr>
            <w:r>
              <w:rPr>
                <w:rFonts w:ascii="Arial;sans-serif" w:hAnsi="Arial;sans-serif"/>
                <w:b/>
                <w:color w:val="000000"/>
                <w:sz w:val="18"/>
              </w:rPr>
              <w:t>Total Fair Value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1,083,092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1,081,938 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left"/>
        <w:rPr/>
      </w:pPr>
      <w:r>
        <w:rPr>
          <w:rFonts w:ascii="Arial;sans-serif" w:hAnsi="Arial;sans-serif"/>
          <w:b w:val="false"/>
          <w:color w:val="000000"/>
          <w:sz w:val="20"/>
          <w:shd w:fill="FFFFFF" w:val="clear"/>
        </w:rPr>
        <w:t>At June 30, 2026 and December 31, 2025, the Company owned 63,793 and 55,430 shares, respectively, in Markel Group Inc. (Markel) valued at $124.6 million and $119.2 million, respectively. The Chief Executive Officer of Markel, Mr. Thomas S. Gayner, is a member of the Company’s Board of Direct</w:t>
      </w:r>
      <w:r>
        <w:rPr>
          <w:rFonts w:ascii="Arial;sans-serif" w:hAnsi="Arial;sans-serif"/>
          <w:b w:val="false"/>
          <w:color w:val="000000"/>
          <w:sz w:val="20"/>
        </w:rPr>
        <w:t>o</w:t>
      </w:r>
      <w:r>
        <w:rPr>
          <w:rFonts w:ascii="Arial;sans-serif" w:hAnsi="Arial;sans-serif"/>
          <w:b w:val="false"/>
          <w:color w:val="000000"/>
          <w:sz w:val="20"/>
          <w:shd w:fill="FFFFFF" w:val="clear"/>
        </w:rPr>
        <w:t xml:space="preserve">rs. As of June 30, 2026, the Company owned 422 Class A and 481,920 Class B shares in Berkshire Hathaway valued at $557.2 million, which exceeded 5% of the Company’s total assets. </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Company purchased $18.7 million and $4.8 million of marketable equity securities during the first six months of 2026 and 2025, respectively.</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 xml:space="preserve">During the first six months of 2026, the gross cumulative realized net gains from the sales of marketable equity securities were $45.5 million. The total proceeds from such sales were $50.0 million. The Company donated marketable equity securities in the first six months of 2026 and recorded a $0.5 million gross cumulative realized gain from the donation. There were no sales of marketable equity securities during the first six months of 2025. </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net gain (loss) on marketable equity securities comprised the following:</w:t>
      </w:r>
    </w:p>
    <w:tbl>
      <w:tblPr>
        <w:tblW w:w="10205" w:type="dxa"/>
        <w:jc w:val="left"/>
        <w:tblInd w:w="0" w:type="dxa"/>
        <w:tblLayout w:type="fixed"/>
        <w:tblCellMar>
          <w:top w:w="28" w:type="dxa"/>
          <w:left w:w="28" w:type="dxa"/>
          <w:bottom w:w="28" w:type="dxa"/>
          <w:right w:w="28" w:type="dxa"/>
        </w:tblCellMar>
      </w:tblPr>
      <w:tblGrid>
        <w:gridCol w:w="1800"/>
        <w:gridCol w:w="1527"/>
        <w:gridCol w:w="1509"/>
        <w:gridCol w:w="211"/>
        <w:gridCol w:w="841"/>
        <w:gridCol w:w="109"/>
        <w:gridCol w:w="109"/>
        <w:gridCol w:w="109"/>
        <w:gridCol w:w="109"/>
        <w:gridCol w:w="211"/>
        <w:gridCol w:w="763"/>
        <w:gridCol w:w="109"/>
        <w:gridCol w:w="109"/>
        <w:gridCol w:w="109"/>
        <w:gridCol w:w="109"/>
        <w:gridCol w:w="211"/>
        <w:gridCol w:w="736"/>
        <w:gridCol w:w="109"/>
        <w:gridCol w:w="109"/>
        <w:gridCol w:w="109"/>
        <w:gridCol w:w="109"/>
        <w:gridCol w:w="211"/>
        <w:gridCol w:w="721"/>
        <w:gridCol w:w="156"/>
      </w:tblGrid>
      <w:tr>
        <w:trPr/>
        <w:tc>
          <w:tcPr>
            <w:tcW w:w="1800"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3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571"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71"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Six Months Ended </w:t>
              <w:br/>
              <w:t> June 30</w:t>
            </w:r>
          </w:p>
        </w:tc>
      </w:tr>
      <w:tr>
        <w:trPr/>
        <w:tc>
          <w:tcPr>
            <w:tcW w:w="4836"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16"/>
              </w:rPr>
            </w:pPr>
            <w:r>
              <w:rPr>
                <w:rFonts w:ascii="Arial;sans-serif" w:hAnsi="Arial;sans-serif"/>
                <w:b w:val="false"/>
                <w:color w:val="000000"/>
                <w:sz w:val="16"/>
              </w:rPr>
              <w:t>(in thousands)</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2025</w:t>
            </w:r>
          </w:p>
        </w:tc>
      </w:tr>
      <w:tr>
        <w:trPr/>
        <w:tc>
          <w:tcPr>
            <w:tcW w:w="48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Gain (loss) on marketable equity securities, net</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101,879</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(11,543)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32,956</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32,258 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3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Less: Net gains in earnings from marketable equity securities sold and donated</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(2,411)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3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Net unrealized gains (losses) in earnings from marketable equity securities still held at the end of the period</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101,835</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0"/>
              <w:jc w:val="left"/>
              <w:rPr/>
            </w:pPr>
            <w:r>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(11,543)</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0"/>
              <w:jc w:val="left"/>
              <w:rPr/>
            </w:pPr>
            <w:r>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30,545</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32,258 </w:t>
            </w:r>
          </w:p>
        </w:tc>
        <w:tc>
          <w:tcPr>
            <w:tcW w:w="1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left"/>
        <w:rPr/>
      </w:pPr>
      <w:r>
        <w:rPr>
          <w:rFonts w:ascii="Arial;sans-serif" w:hAnsi="Arial;sans-serif"/>
          <w:b/>
          <w:color w:val="000000"/>
          <w:sz w:val="20"/>
        </w:rPr>
        <w:t xml:space="preserve">Investments in Affiliates. </w:t>
      </w:r>
      <w:r>
        <w:rPr>
          <w:rFonts w:ascii="Arial;sans-serif" w:hAnsi="Arial;sans-serif"/>
          <w:b w:val="false"/>
          <w:color w:val="000000"/>
          <w:sz w:val="20"/>
        </w:rPr>
        <w:t xml:space="preserve">As of June 30, 2026, the Company’s healthcare subsidiary held investments in several affiliates that GHG actively manages; GHG held a 40% interest in each of the following affiliates: Residential Home Health Illinois, Residential Hospice Illinois, Mary Free Bed at Home, and Allegheny Health Network Healthcare at Home. For the three and six months ended June 30, 2026, the Company recorded $4.3 million and $8.4 million, respectively, in revenue for services provided to the affiliates of GHG. For the three and six months ended June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 xml:space="preserve">2025, the Company recorded $4.1 million and $7.9 million, respectively, in revenue for services provided to the affiliates of GHG. </w:t>
      </w:r>
    </w:p>
    <w:p>
      <w:pPr>
        <w:pStyle w:val="TextBody"/>
        <w:bidi w:val="0"/>
        <w:spacing w:lineRule="auto" w:line="264" w:before="0" w:after="180"/>
        <w:jc w:val="left"/>
        <w:rPr/>
      </w:pPr>
      <w:r>
        <w:rPr>
          <w:rFonts w:ascii="Arial;sans-serif" w:hAnsi="Arial;sans-serif"/>
          <w:b w:val="false"/>
          <w:color w:val="000000"/>
          <w:sz w:val="20"/>
        </w:rPr>
        <w:t xml:space="preserve">As of June 30, 2026, the Company held a </w:t>
      </w:r>
      <w:r>
        <w:rPr>
          <w:rFonts w:ascii="Arial;sans-serif" w:hAnsi="Arial;sans-serif"/>
          <w:b w:val="false"/>
          <w:color w:val="000000"/>
          <w:sz w:val="20"/>
          <w:shd w:fill="FFFFFF" w:val="clear"/>
        </w:rPr>
        <w:t>50.4%,</w:t>
      </w:r>
      <w:r>
        <w:rPr>
          <w:color w:val="000000"/>
        </w:rPr>
        <w:t xml:space="preserve"> </w:t>
      </w:r>
      <w:r>
        <w:rPr>
          <w:rFonts w:ascii="Arial;sans-serif" w:hAnsi="Arial;sans-serif"/>
          <w:b w:val="false"/>
          <w:color w:val="000000"/>
          <w:sz w:val="20"/>
          <w:shd w:fill="FFFFFF" w:val="clear"/>
        </w:rPr>
        <w:t xml:space="preserve">41.4% and </w:t>
      </w:r>
      <w:r>
        <w:rPr>
          <w:rFonts w:ascii="Arial;sans-serif" w:hAnsi="Arial;sans-serif"/>
          <w:b w:val="false"/>
          <w:color w:val="000000"/>
          <w:sz w:val="20"/>
        </w:rPr>
        <w:t>25.2% interest in N2K Networks, Realm and Intersection, respectively, on a fully diluted basis, and accounts for these investments under the equity method. The Company holds two of the five seats of N2K Networks’ governing board with the other shareholders retaining substantive participation rights to control the financial and operating decisions of N2K Networks through representation on the board. In May 2024, the Company entered into a convertible promissory note agreement to loan N2K Networks $2.0 million. The convertible promissory note bears interest at a rate of 12% per annum and, subject to conversion provisions, all unpaid interest and principal are due by May 2027.</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In the second quarter of 2026, the Company recorded an impairment charge of $5.8 million on its investment in Realm following a reduction in the investee’s current and expected growth.</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Company had $28.2 million and $30.0 million in its investment account that represents cumulative undistributed income in its investments in affiliates as of June 30, 2026 and December 31, 2025, respectively.</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Additionally, Kaplan International Holdings Limited (KIHL) held a 45% interest in a joint venture formed with University of York. KIHL loaned the joint venture £22 million, which is repayable over 25 years at an interest rate of 7% and guaranteed by the University of York. The outstanding balance on this loan was £18.8 million as of June 30, 2026. The loan is repayable by December 2041.</w:t>
      </w:r>
    </w:p>
    <w:p>
      <w:pPr>
        <w:pStyle w:val="TextBody"/>
        <w:bidi w:val="0"/>
        <w:spacing w:lineRule="auto" w:line="264" w:before="0" w:after="180"/>
        <w:jc w:val="left"/>
        <w:rPr/>
      </w:pPr>
      <w:r>
        <w:rPr>
          <w:rFonts w:ascii="Arial;sans-serif" w:hAnsi="Arial;sans-serif"/>
          <w:b/>
          <w:color w:val="000000"/>
          <w:sz w:val="20"/>
        </w:rPr>
        <w:t>Cost Method Investments.</w:t>
      </w:r>
      <w:r>
        <w:rPr>
          <w:color w:val="000000"/>
        </w:rPr>
        <w:t xml:space="preserve"> </w:t>
      </w:r>
      <w:r>
        <w:rPr>
          <w:rFonts w:ascii="Arial;sans-serif" w:hAnsi="Arial;sans-serif"/>
          <w:b w:val="false"/>
          <w:color w:val="000000"/>
          <w:sz w:val="20"/>
        </w:rPr>
        <w:t>The Company held investments without readily determinable fair values in a number of equity securities that are accounted for as cost method investments, which are recorded at cost, less impairment, and adjusted for observable price changes for identical or similar investments of the same issuer. The carrying value of these investments was $49.4 million as of June 30, 2026 and December 31, 2025. During the three and six months ended June 30, 2025, the Company recorded impairment losses of $12.7 million to equity securities that are accounted for as cost method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ind w:left="0" w:right="0" w:hanging="540"/>
        <w:jc w:val="left"/>
        <w:rPr>
          <w:rFonts w:ascii="Arial;sans-serif" w:hAnsi="Arial;sans-serif"/>
          <w:b/>
          <w:color w:val="000000"/>
          <w:sz w:val="20"/>
        </w:rPr>
      </w:pPr>
      <w:r>
        <w:rPr>
          <w:rFonts w:ascii="Arial;sans-serif" w:hAnsi="Arial;sans-serif"/>
          <w:b/>
          <w:color w:val="000000"/>
          <w:sz w:val="20"/>
        </w:rPr>
        <w:t>4. ACCOUNTS RECEIVABLE, ACCOUNTS PAYABLE, VEHICLE FLOOR PLAN PAYABLE AND ACCRUED LIABILITIES</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Accounts receivable consist of the following:</w:t>
      </w:r>
    </w:p>
    <w:tbl>
      <w:tblPr>
        <w:tblW w:w="10205" w:type="dxa"/>
        <w:jc w:val="left"/>
        <w:tblInd w:w="0" w:type="dxa"/>
        <w:tblLayout w:type="fixed"/>
        <w:tblCellMar>
          <w:top w:w="28" w:type="dxa"/>
          <w:left w:w="28" w:type="dxa"/>
          <w:bottom w:w="28" w:type="dxa"/>
          <w:right w:w="28" w:type="dxa"/>
        </w:tblCellMar>
      </w:tblPr>
      <w:tblGrid>
        <w:gridCol w:w="2728"/>
        <w:gridCol w:w="2393"/>
        <w:gridCol w:w="2404"/>
        <w:gridCol w:w="211"/>
        <w:gridCol w:w="841"/>
        <w:gridCol w:w="109"/>
        <w:gridCol w:w="109"/>
        <w:gridCol w:w="109"/>
        <w:gridCol w:w="109"/>
        <w:gridCol w:w="211"/>
        <w:gridCol w:w="826"/>
        <w:gridCol w:w="155"/>
      </w:tblGrid>
      <w:tr>
        <w:trPr/>
        <w:tc>
          <w:tcPr>
            <w:tcW w:w="2728"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As of</w:t>
            </w:r>
          </w:p>
        </w:tc>
      </w:tr>
      <w:tr>
        <w:trPr/>
        <w:tc>
          <w:tcPr>
            <w:tcW w:w="7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r>
      <w:tr>
        <w:trPr/>
        <w:tc>
          <w:tcPr>
            <w:tcW w:w="752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16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75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Receivables from contracts with customers, less estimated credit losses of $26,015 and $23,164</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419,481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519,068 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Other receivables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55,206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57,686 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474,687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576,754 </w:t>
            </w:r>
          </w:p>
        </w:tc>
        <w:tc>
          <w:tcPr>
            <w:tcW w:w="15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Credit loss expense was $1.5 million and $1.0 million for the three months ended June 30, 2026 and 2025, respectively. Credit loss expense was $3.0 million and $2.1 million for the six months ended June 30, 2026 and 2025, respectively.</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Accounts payable, vehicle floor plan payable and accrued liabilities consist of the following:</w:t>
      </w:r>
    </w:p>
    <w:tbl>
      <w:tblPr>
        <w:tblW w:w="6339" w:type="dxa"/>
        <w:jc w:val="left"/>
        <w:tblInd w:w="0" w:type="dxa"/>
        <w:tblLayout w:type="fixed"/>
        <w:tblCellMar>
          <w:top w:w="28" w:type="dxa"/>
          <w:left w:w="28" w:type="dxa"/>
          <w:bottom w:w="28" w:type="dxa"/>
          <w:right w:w="28" w:type="dxa"/>
        </w:tblCellMar>
      </w:tblPr>
      <w:tblGrid>
        <w:gridCol w:w="1327"/>
        <w:gridCol w:w="1165"/>
        <w:gridCol w:w="1168"/>
        <w:gridCol w:w="211"/>
        <w:gridCol w:w="841"/>
        <w:gridCol w:w="109"/>
        <w:gridCol w:w="109"/>
        <w:gridCol w:w="109"/>
        <w:gridCol w:w="109"/>
        <w:gridCol w:w="211"/>
        <w:gridCol w:w="826"/>
        <w:gridCol w:w="154"/>
      </w:tblGrid>
      <w:tr>
        <w:trPr/>
        <w:tc>
          <w:tcPr>
            <w:tcW w:w="132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As of</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r>
      <w:tr>
        <w:trPr/>
        <w:tc>
          <w:tcPr>
            <w:tcW w:w="366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16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36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175,672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181,009 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Vehicle floor plan payable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117,096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118,959 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Accrued compensation and related benefits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135,443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194,972 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Other accrued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210,372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226,686 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638,583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721,626 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Cash overdrafts of $0.6 million are included in accounts payable as of June 30, 2026 and December 31, 2025.</w:t>
      </w:r>
    </w:p>
    <w:p>
      <w:pPr>
        <w:pStyle w:val="TextBody"/>
        <w:bidi w:val="0"/>
        <w:spacing w:lineRule="auto" w:line="264" w:before="0" w:after="180"/>
        <w:jc w:val="left"/>
        <w:rPr/>
      </w:pPr>
      <w:r>
        <w:rPr>
          <w:rFonts w:ascii="Arial;sans-serif" w:hAnsi="Arial;sans-serif"/>
          <w:b w:val="false"/>
          <w:color w:val="000000"/>
          <w:sz w:val="20"/>
        </w:rPr>
        <w:t xml:space="preserve">The Company finances new, used and service loaner vehicle inventory through </w:t>
      </w:r>
      <w:r>
        <w:rPr>
          <w:rFonts w:ascii="Arial;sans-serif" w:hAnsi="Arial;sans-serif"/>
          <w:b w:val="false"/>
          <w:color w:val="000000"/>
          <w:sz w:val="20"/>
          <w:shd w:fill="FFFFFF" w:val="clear"/>
        </w:rPr>
        <w:t xml:space="preserve">standardized floor plan facilities with Truist Bank and Toyota Motor Credit Corporation and Ford Motor Credit Company. At June 30, 2026, the floor plan facilities bore interest at variable rates that are based on Secured Overnight Financing Rate (SOFR) and prime-based interest rates. </w:t>
      </w:r>
      <w:r>
        <w:rPr>
          <w:rFonts w:ascii="Arial;sans-serif" w:hAnsi="Arial;sans-serif"/>
          <w:b w:val="false"/>
          <w:color w:val="000000"/>
          <w:sz w:val="20"/>
        </w:rPr>
        <w:t xml:space="preserve">The weighted average interest rate for the floor plan facilities was 5.7% for the three and six months ended June 30, 2026. The weighted average interest rate for the floor plan facilities was 6.3% for the three and six months ended June 30, 2025. </w:t>
      </w:r>
      <w:r>
        <w:rPr>
          <w:rFonts w:ascii="Arial;sans-serif" w:hAnsi="Arial;sans-serif"/>
          <w:b w:val="false"/>
          <w:color w:val="000000"/>
          <w:sz w:val="20"/>
          <w:shd w:fill="FFFFFF" w:val="clear"/>
        </w:rPr>
        <w:t xml:space="preserve">The Company incurred floor plan interest expense of $1.8 million and $1.9 million for the three months ended </w:t>
      </w:r>
      <w:r>
        <w:rPr>
          <w:rFonts w:ascii="Arial;sans-serif" w:hAnsi="Arial;sans-serif"/>
          <w:b w:val="false"/>
          <w:color w:val="000000"/>
          <w:sz w:val="20"/>
        </w:rPr>
        <w:t>June 30, 2026 and 2025, respectively</w:t>
      </w:r>
      <w:r>
        <w:rPr>
          <w:rFonts w:ascii="Arial;sans-serif" w:hAnsi="Arial;sans-serif"/>
          <w:b w:val="false"/>
          <w:color w:val="000000"/>
          <w:sz w:val="20"/>
          <w:shd w:fill="FFFFFF" w:val="clear"/>
        </w:rPr>
        <w:t xml:space="preserve">. The Company incurred floor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180"/>
        <w:jc w:val="left"/>
        <w:rPr/>
      </w:pPr>
      <w:r>
        <w:rPr>
          <w:rFonts w:ascii="Arial;sans-serif" w:hAnsi="Arial;sans-serif"/>
          <w:b w:val="false"/>
          <w:color w:val="000000"/>
          <w:sz w:val="20"/>
          <w:shd w:fill="FFFFFF" w:val="clear"/>
        </w:rPr>
        <w:t xml:space="preserve">interest expense of $3.5 million and $4.1 million for the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ended </w:t>
      </w:r>
      <w:r>
        <w:rPr>
          <w:rFonts w:ascii="Arial;sans-serif" w:hAnsi="Arial;sans-serif"/>
          <w:b w:val="false"/>
          <w:color w:val="000000"/>
          <w:sz w:val="20"/>
        </w:rPr>
        <w:t>June 30, 2026 and 2025, respectively</w:t>
      </w:r>
      <w:r>
        <w:rPr>
          <w:rFonts w:ascii="Arial;sans-serif" w:hAnsi="Arial;sans-serif"/>
          <w:b w:val="false"/>
          <w:color w:val="000000"/>
          <w:sz w:val="20"/>
          <w:shd w:fill="FFFFFF" w:val="clear"/>
        </w:rPr>
        <w:t xml:space="preserve">. </w:t>
      </w:r>
      <w:r>
        <w:rPr>
          <w:rFonts w:ascii="Arial;sans-serif" w:hAnsi="Arial;sans-serif"/>
          <w:b w:val="false"/>
          <w:color w:val="000000"/>
          <w:sz w:val="20"/>
        </w:rPr>
        <w:t>Changes in the vehicle floor plan payable are reported as cash flows from financing activities in the Condensed Consolidated Statements of Cash Flows.</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floor plan facilities are collateralized by vehicle inventory and other assets of the relevant dealership subsidiary, and contain a number of covenants, including, among others, covenants restricting the dealership subsidiary with respect to the creation of liens and changes in ownership, officers and key management personnel. The Company was in compliance with all of these restrictive covenants as of June 30, 2026.</w:t>
      </w:r>
    </w:p>
    <w:p>
      <w:pPr>
        <w:pStyle w:val="TextBody"/>
        <w:bidi w:val="0"/>
        <w:spacing w:lineRule="auto" w:line="264" w:before="0" w:after="180"/>
        <w:jc w:val="left"/>
        <w:rPr/>
      </w:pPr>
      <w:r>
        <w:rPr>
          <w:rFonts w:ascii="Arial;sans-serif" w:hAnsi="Arial;sans-serif"/>
          <w:b w:val="false"/>
          <w:color w:val="000000"/>
          <w:sz w:val="20"/>
        </w:rPr>
        <w:t xml:space="preserve">The floor plan interest expense related to the vehicle floor plan arrangements is offset by amounts received from manufacturers in the form of floor plan assistance capitalized in inventory and recorded against cost of goods sold in the </w:t>
      </w:r>
      <w:r>
        <w:rPr>
          <w:rFonts w:ascii="Arial;sans-serif" w:hAnsi="Arial;sans-serif"/>
          <w:b w:val="false"/>
          <w:color w:val="000000"/>
          <w:sz w:val="20"/>
          <w:shd w:fill="FFFFFF" w:val="clear"/>
        </w:rPr>
        <w:t>Condensed</w:t>
      </w:r>
      <w:r>
        <w:rPr>
          <w:color w:val="000000"/>
        </w:rPr>
        <w:t xml:space="preserve"> </w:t>
      </w:r>
      <w:r>
        <w:rPr>
          <w:rFonts w:ascii="Arial;sans-serif" w:hAnsi="Arial;sans-serif"/>
          <w:b w:val="false"/>
          <w:color w:val="000000"/>
          <w:sz w:val="20"/>
        </w:rPr>
        <w:t>Consolidated Statements of Operations when the associated inventory is sold. For the three months ended June 30, 2026 and 2025, the Company recognized a reduction in cost of goods sold of $2.2 million and $2.0 million, respectively, related to manufacturer floor plan assistance. For the six months ended June 30, 2026 and 2025, the Company recognized a reduction in cost of goods sold of $4.1 million and $4.0 million, respectively, related to manufacturer floor plan assistance.</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As of June 30, 2026 and December 31, 2025, the Company had $99.8 million and $105.9 million, respectively, in obligations outstanding related to floor plan facilities associated with new vehicles.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ind w:left="0" w:right="0" w:hanging="540"/>
        <w:jc w:val="left"/>
        <w:rPr>
          <w:rFonts w:ascii="Arial;sans-serif" w:hAnsi="Arial;sans-serif"/>
          <w:b/>
          <w:color w:val="000000"/>
          <w:sz w:val="20"/>
        </w:rPr>
      </w:pPr>
      <w:r>
        <w:rPr>
          <w:rFonts w:ascii="Arial;sans-serif" w:hAnsi="Arial;sans-serif"/>
          <w:b/>
          <w:color w:val="000000"/>
          <w:sz w:val="20"/>
        </w:rPr>
        <w:t>5. INVENTORIES AND CONTRACTS IN PROGRESS</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Inventories and contracts in progress consist of the following:</w:t>
      </w:r>
    </w:p>
    <w:tbl>
      <w:tblPr>
        <w:tblW w:w="4538" w:type="dxa"/>
        <w:jc w:val="left"/>
        <w:tblInd w:w="0" w:type="dxa"/>
        <w:tblLayout w:type="fixed"/>
        <w:tblCellMar>
          <w:top w:w="28" w:type="dxa"/>
          <w:left w:w="28" w:type="dxa"/>
          <w:bottom w:w="28" w:type="dxa"/>
          <w:right w:w="28" w:type="dxa"/>
        </w:tblCellMar>
      </w:tblPr>
      <w:tblGrid>
        <w:gridCol w:w="673"/>
        <w:gridCol w:w="591"/>
        <w:gridCol w:w="595"/>
        <w:gridCol w:w="211"/>
        <w:gridCol w:w="841"/>
        <w:gridCol w:w="109"/>
        <w:gridCol w:w="109"/>
        <w:gridCol w:w="109"/>
        <w:gridCol w:w="109"/>
        <w:gridCol w:w="211"/>
        <w:gridCol w:w="826"/>
        <w:gridCol w:w="154"/>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As of</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r>
      <w:tr>
        <w:trPr/>
        <w:tc>
          <w:tcPr>
            <w:tcW w:w="185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16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8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Raw materials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83,044</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77,977 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Work-in-process</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14,529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12,906 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Finished goods</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228,447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209,287 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Contracts in progress</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7,439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3,200 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333,459</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303,370 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rPr>
      </w:pPr>
      <w:r>
        <w:rPr>
          <w:rFonts w:ascii="Arial;sans-serif" w:hAnsi="Arial;sans-serif"/>
          <w:b/>
          <w:color w:val="000000"/>
          <w:sz w:val="20"/>
        </w:rPr>
        <w:t>6. GOODWILL AND OTHER INTANGIBLE ASSETS</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During the first quarter of 2026, in connection with the classification of the KLG disposal group as held for sale, the Company recognized a goodwill impairment charge of $1.0 million at Kaplan International (see Note 2).</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Amortization of intangible assets for the three months ended June 30, 2026 and 2025, was $6.0 million and $7.2 million, respectively. Amortization of intangible assets for the six months ended June 30, 2026 and 2025, was $12.0 million and $15.1 million, respectively. Amortization of intangible assets is estimated to be approximately $11 million for the remainder of 2026, $9 million in 2027, $6 million in 2028, $5 million in 2029, $5 million in 2030 and $13 million thereafter.</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changes in the carrying amount of goodwill, by segment, were as follows:</w:t>
      </w:r>
    </w:p>
    <w:tbl>
      <w:tblPr>
        <w:tblW w:w="11610" w:type="dxa"/>
        <w:jc w:val="left"/>
        <w:tblInd w:w="0" w:type="dxa"/>
        <w:tblLayout w:type="fixed"/>
        <w:tblCellMar>
          <w:top w:w="28" w:type="dxa"/>
          <w:left w:w="28" w:type="dxa"/>
          <w:bottom w:w="28" w:type="dxa"/>
          <w:right w:w="28" w:type="dxa"/>
        </w:tblCellMar>
      </w:tblPr>
      <w:tblGrid>
        <w:gridCol w:w="531"/>
        <w:gridCol w:w="282"/>
        <w:gridCol w:w="283"/>
        <w:gridCol w:w="211"/>
        <w:gridCol w:w="976"/>
        <w:gridCol w:w="109"/>
        <w:gridCol w:w="109"/>
        <w:gridCol w:w="109"/>
        <w:gridCol w:w="109"/>
        <w:gridCol w:w="212"/>
        <w:gridCol w:w="848"/>
        <w:gridCol w:w="111"/>
        <w:gridCol w:w="109"/>
        <w:gridCol w:w="109"/>
        <w:gridCol w:w="109"/>
        <w:gridCol w:w="211"/>
        <w:gridCol w:w="841"/>
        <w:gridCol w:w="109"/>
        <w:gridCol w:w="109"/>
        <w:gridCol w:w="109"/>
        <w:gridCol w:w="109"/>
        <w:gridCol w:w="229"/>
        <w:gridCol w:w="913"/>
        <w:gridCol w:w="119"/>
        <w:gridCol w:w="109"/>
        <w:gridCol w:w="109"/>
        <w:gridCol w:w="109"/>
        <w:gridCol w:w="211"/>
        <w:gridCol w:w="841"/>
        <w:gridCol w:w="109"/>
        <w:gridCol w:w="109"/>
        <w:gridCol w:w="109"/>
        <w:gridCol w:w="109"/>
        <w:gridCol w:w="211"/>
        <w:gridCol w:w="826"/>
        <w:gridCol w:w="109"/>
        <w:gridCol w:w="109"/>
        <w:gridCol w:w="109"/>
        <w:gridCol w:w="109"/>
        <w:gridCol w:w="211"/>
        <w:gridCol w:w="991"/>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Education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 xml:space="preserve">Television </w:t>
              <w:br/>
              <w:t>Broadcasting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Healthcare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Manufacturing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Automotive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 xml:space="preserve">Other </w:t>
              <w:br/>
              <w:t>Businesses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Total</w:t>
            </w:r>
          </w:p>
        </w:tc>
      </w:tr>
      <w:tr>
        <w:trPr/>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As of December 31, 2025</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109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1,181,284 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48"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190,815 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136,637 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272,523 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140,832 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108,943 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2,031,034 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64" w:before="0" w:after="0"/>
              <w:ind w:left="0" w:right="0" w:hanging="180"/>
              <w:jc w:val="left"/>
              <w:rPr>
                <w:rFonts w:ascii="Arial;sans-serif" w:hAnsi="Arial;sans-serif"/>
                <w:b w:val="false"/>
                <w:color w:val="000000"/>
                <w:sz w:val="18"/>
              </w:rPr>
            </w:pPr>
            <w:r>
              <w:rPr>
                <w:rFonts w:ascii="Arial;sans-serif" w:hAnsi="Arial;sans-serif"/>
                <w:b w:val="false"/>
                <w:color w:val="000000"/>
                <w:sz w:val="18"/>
              </w:rPr>
              <w:t>Accumulated impairment losses</w:t>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(331,151)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(82,062)</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(32,155)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(445,368)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850,133 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190,815 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136,637 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190,461 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140,832 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76,788 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1,585,666 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Acquisition</w:t>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17,996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17,996</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Impairment</w:t>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(976)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(976)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Disposition</w:t>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64" w:before="0" w:after="0"/>
              <w:ind w:left="0" w:right="0" w:hanging="180"/>
              <w:jc w:val="left"/>
              <w:rPr>
                <w:rFonts w:ascii="Arial;sans-serif" w:hAnsi="Arial;sans-serif"/>
                <w:b/>
                <w:color w:val="000000"/>
                <w:sz w:val="18"/>
              </w:rPr>
            </w:pPr>
            <w:r>
              <w:rPr>
                <w:rFonts w:ascii="Arial;sans-serif" w:hAnsi="Arial;sans-serif"/>
                <w:b/>
                <w:color w:val="000000"/>
                <w:sz w:val="18"/>
              </w:rPr>
              <w:t>Foreign currency exchange rate changes</w:t>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(2,113)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(2,113)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As of June 30, 2026</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r>
      <w:tr>
        <w:trPr/>
        <w:tc>
          <w:tcPr>
            <w:tcW w:w="109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Goodwill</w:t>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1,178,195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190,815</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154,633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272,523</w:t>
            </w: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140,832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108,943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2,045,941</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64" w:before="0" w:after="0"/>
              <w:ind w:left="0" w:right="0" w:hanging="180"/>
              <w:jc w:val="left"/>
              <w:rPr>
                <w:rFonts w:ascii="Arial;sans-serif" w:hAnsi="Arial;sans-serif"/>
                <w:b/>
                <w:color w:val="000000"/>
                <w:sz w:val="18"/>
              </w:rPr>
            </w:pPr>
            <w:r>
              <w:rPr>
                <w:rFonts w:ascii="Arial;sans-serif" w:hAnsi="Arial;sans-serif"/>
                <w:b/>
                <w:color w:val="000000"/>
                <w:sz w:val="18"/>
              </w:rPr>
              <w:t>Accumulated impairment losses</w:t>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(331,151)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(82,062)</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(32,155)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(445,368)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847,044</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190,815</w:t>
            </w:r>
            <w:r>
              <w:rPr>
                <w:color w:val="000000"/>
              </w:rPr>
              <w:t> </w:t>
            </w:r>
          </w:p>
        </w:tc>
        <w:tc>
          <w:tcPr>
            <w:tcW w:w="1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154,633</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190,461</w:t>
            </w:r>
            <w:r>
              <w:rPr>
                <w:color w:val="000000"/>
              </w:rPr>
              <w:t> </w:t>
            </w:r>
          </w:p>
        </w:tc>
        <w:tc>
          <w:tcPr>
            <w:tcW w:w="1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140,832</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76,788</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1,600,573</w:t>
            </w:r>
            <w:r>
              <w:rPr>
                <w:color w:val="000000"/>
              </w:rPr>
              <w:t>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changes in carrying amount of goodwill at the Company’s education and healthcare divisions were as follows:</w:t>
      </w:r>
    </w:p>
    <w:tbl>
      <w:tblPr>
        <w:tblW w:w="11345" w:type="dxa"/>
        <w:jc w:val="left"/>
        <w:tblInd w:w="0" w:type="dxa"/>
        <w:tblLayout w:type="fixed"/>
        <w:tblCellMar>
          <w:top w:w="28" w:type="dxa"/>
          <w:left w:w="28" w:type="dxa"/>
          <w:bottom w:w="28" w:type="dxa"/>
          <w:right w:w="28" w:type="dxa"/>
        </w:tblCellMar>
      </w:tblPr>
      <w:tblGrid>
        <w:gridCol w:w="696"/>
        <w:gridCol w:w="282"/>
        <w:gridCol w:w="283"/>
        <w:gridCol w:w="211"/>
        <w:gridCol w:w="841"/>
        <w:gridCol w:w="109"/>
        <w:gridCol w:w="109"/>
        <w:gridCol w:w="109"/>
        <w:gridCol w:w="109"/>
        <w:gridCol w:w="211"/>
        <w:gridCol w:w="826"/>
        <w:gridCol w:w="109"/>
        <w:gridCol w:w="109"/>
        <w:gridCol w:w="109"/>
        <w:gridCol w:w="109"/>
        <w:gridCol w:w="218"/>
        <w:gridCol w:w="869"/>
        <w:gridCol w:w="114"/>
        <w:gridCol w:w="109"/>
        <w:gridCol w:w="109"/>
        <w:gridCol w:w="109"/>
        <w:gridCol w:w="211"/>
        <w:gridCol w:w="976"/>
        <w:gridCol w:w="109"/>
        <w:gridCol w:w="109"/>
        <w:gridCol w:w="109"/>
        <w:gridCol w:w="109"/>
        <w:gridCol w:w="211"/>
        <w:gridCol w:w="736"/>
        <w:gridCol w:w="109"/>
        <w:gridCol w:w="109"/>
        <w:gridCol w:w="109"/>
        <w:gridCol w:w="109"/>
        <w:gridCol w:w="211"/>
        <w:gridCol w:w="736"/>
        <w:gridCol w:w="109"/>
        <w:gridCol w:w="109"/>
        <w:gridCol w:w="109"/>
        <w:gridCol w:w="109"/>
        <w:gridCol w:w="211"/>
        <w:gridCol w:w="841"/>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161"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16"/>
              </w:rPr>
            </w:pPr>
            <w:r>
              <w:rPr>
                <w:rFonts w:ascii="Arial;sans-serif" w:hAnsi="Arial;sans-serif"/>
                <w:b/>
                <w:color w:val="000000"/>
                <w:sz w:val="16"/>
              </w:rPr>
              <w:t xml:space="preserve">Kaplan </w:t>
            </w:r>
          </w:p>
          <w:p>
            <w:pPr>
              <w:pStyle w:val="TableContents"/>
              <w:bidi w:val="0"/>
              <w:spacing w:lineRule="auto" w:line="264" w:before="0" w:after="0"/>
              <w:jc w:val="center"/>
              <w:rPr>
                <w:rFonts w:ascii="Arial;sans-serif" w:hAnsi="Arial;sans-serif"/>
                <w:b/>
                <w:color w:val="000000"/>
                <w:sz w:val="16"/>
              </w:rPr>
            </w:pPr>
            <w:r>
              <w:rPr>
                <w:rFonts w:ascii="Arial;sans-serif" w:hAnsi="Arial;sans-serif"/>
                <w:b/>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16"/>
              </w:rPr>
            </w:pPr>
            <w:r>
              <w:rPr>
                <w:rFonts w:ascii="Arial;sans-serif" w:hAnsi="Arial;sans-serif"/>
                <w:b/>
                <w:color w:val="000000"/>
                <w:sz w:val="16"/>
              </w:rPr>
              <w:t xml:space="preserve">Higher </w:t>
            </w:r>
          </w:p>
          <w:p>
            <w:pPr>
              <w:pStyle w:val="TableContents"/>
              <w:bidi w:val="0"/>
              <w:spacing w:lineRule="auto" w:line="264" w:before="0" w:after="0"/>
              <w:jc w:val="center"/>
              <w:rPr>
                <w:rFonts w:ascii="Arial;sans-serif" w:hAnsi="Arial;sans-serif"/>
                <w:b/>
                <w:color w:val="000000"/>
                <w:sz w:val="16"/>
              </w:rPr>
            </w:pPr>
            <w:r>
              <w:rPr>
                <w:rFonts w:ascii="Arial;sans-serif" w:hAnsi="Arial;sans-serif"/>
                <w:b/>
                <w:color w:val="000000"/>
                <w:sz w:val="16"/>
              </w:rPr>
              <w:t>Education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Supplemental Education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Total</w:t>
              <w:br/>
              <w:t>Education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CSI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Other Healthcare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Total Healthcare</w:t>
            </w:r>
          </w:p>
        </w:tc>
      </w:tr>
      <w:tr>
        <w:trPr/>
        <w:tc>
          <w:tcPr>
            <w:tcW w:w="12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As of December 31, 2025</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614,096 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174,564 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69"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392,624 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1,181,284 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87,140 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49,497 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136,637 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Accumulated impairment losses</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(111,324)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(219,827)</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(331,151)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614,096 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63,240 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172,797 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850,133 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87,140 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49,497 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136,637 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Acquisition</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17,996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17,996</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Impairment</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(976)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(976)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Disposition</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Foreign currency exchange rate changes</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(2,049)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(64)</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(2,113)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As of June 30, 2026</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Goodwill</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611,071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174,564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392,560</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1,178,195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87,140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67,493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154,633</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Accumulated impairment losses</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(111,324)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(219,827)</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(331,151)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611,071</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63,240</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6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172,733</w:t>
            </w:r>
            <w:r>
              <w:rPr>
                <w:color w:val="000000"/>
              </w:rPr>
              <w:t> </w:t>
            </w:r>
          </w:p>
        </w:tc>
        <w:tc>
          <w:tcPr>
            <w:tcW w:w="1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847,044</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87,140</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67,493</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154,633</w:t>
            </w:r>
            <w:r>
              <w:rPr>
                <w:color w:val="000000"/>
              </w:rPr>
              <w:t>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Other intangible assets consist of the following:</w:t>
      </w:r>
    </w:p>
    <w:tbl>
      <w:tblPr>
        <w:tblW w:w="10670" w:type="dxa"/>
        <w:jc w:val="left"/>
        <w:tblInd w:w="0" w:type="dxa"/>
        <w:tblLayout w:type="fixed"/>
        <w:tblCellMar>
          <w:top w:w="28" w:type="dxa"/>
          <w:left w:w="28" w:type="dxa"/>
          <w:bottom w:w="28" w:type="dxa"/>
          <w:right w:w="28" w:type="dxa"/>
        </w:tblCellMar>
      </w:tblPr>
      <w:tblGrid>
        <w:gridCol w:w="754"/>
        <w:gridCol w:w="299"/>
        <w:gridCol w:w="283"/>
        <w:gridCol w:w="205"/>
        <w:gridCol w:w="205"/>
        <w:gridCol w:w="206"/>
        <w:gridCol w:w="109"/>
        <w:gridCol w:w="109"/>
        <w:gridCol w:w="109"/>
        <w:gridCol w:w="211"/>
        <w:gridCol w:w="841"/>
        <w:gridCol w:w="109"/>
        <w:gridCol w:w="109"/>
        <w:gridCol w:w="109"/>
        <w:gridCol w:w="109"/>
        <w:gridCol w:w="211"/>
        <w:gridCol w:w="841"/>
        <w:gridCol w:w="109"/>
        <w:gridCol w:w="109"/>
        <w:gridCol w:w="109"/>
        <w:gridCol w:w="109"/>
        <w:gridCol w:w="211"/>
        <w:gridCol w:w="73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As of December 31, 2025</w:t>
            </w:r>
          </w:p>
        </w:tc>
      </w:tr>
      <w:tr>
        <w:trPr/>
        <w:tc>
          <w:tcPr>
            <w:tcW w:w="133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61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 xml:space="preserve">Useful Life </w:t>
              <w:b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 xml:space="preserve">Gross </w:t>
              <w:br/>
              <w:t xml:space="preserve">Carrying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 xml:space="preserve">Net Carrying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 xml:space="preserve">Gross </w:t>
              <w:br/>
              <w:t xml:space="preserve">Carrying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 xml:space="preserve">Net </w:t>
              <w:br/>
              <w:t xml:space="preserve"> Carrying </w:t>
              <w:br/>
              <w:t>Amount</w:t>
            </w:r>
          </w:p>
        </w:tc>
      </w:tr>
      <w:tr>
        <w:trPr/>
        <w:tc>
          <w:tcPr>
            <w:tcW w:w="13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Amortized Intangible Assets</w:t>
            </w:r>
          </w:p>
        </w:tc>
        <w:tc>
          <w:tcPr>
            <w:tcW w:w="6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1336"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rFonts w:ascii="Arial;sans-serif" w:hAnsi="Arial;sans-serif"/>
                <w:b w:val="false"/>
                <w:color w:val="000000"/>
                <w:sz w:val="18"/>
              </w:rPr>
            </w:pPr>
            <w:r>
              <w:rPr>
                <w:rFonts w:ascii="Arial;sans-serif" w:hAnsi="Arial;sans-serif"/>
                <w:b w:val="false"/>
                <w:color w:val="000000"/>
                <w:sz w:val="18"/>
              </w:rPr>
              <w:t>Student and customer relationships</w:t>
            </w:r>
          </w:p>
        </w:tc>
        <w:tc>
          <w:tcPr>
            <w:tcW w:w="616"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18"/>
              </w:rPr>
            </w:pPr>
            <w:r>
              <w:rPr>
                <w:rFonts w:ascii="Arial;sans-serif" w:hAnsi="Arial;sans-serif"/>
                <w:b/>
                <w:color w:val="000000"/>
                <w:sz w:val="18"/>
              </w:rPr>
              <w:t>2–10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296,900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263,999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32,901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307,312 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266,453 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40,859 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Trade names and trademarks</w:t>
            </w:r>
          </w:p>
        </w:tc>
        <w:tc>
          <w:tcPr>
            <w:tcW w:w="616"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18"/>
              </w:rPr>
            </w:pPr>
            <w:r>
              <w:rPr>
                <w:rFonts w:ascii="Arial;sans-serif" w:hAnsi="Arial;sans-serif"/>
                <w:b/>
                <w:color w:val="000000"/>
                <w:sz w:val="18"/>
              </w:rPr>
              <w:t>2–10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107,337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94,370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12,967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114,227 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98,147 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16,080 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Network affiliation agreements</w:t>
            </w:r>
          </w:p>
        </w:tc>
        <w:tc>
          <w:tcPr>
            <w:tcW w:w="616"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18"/>
              </w:rPr>
            </w:pPr>
            <w:r>
              <w:rPr>
                <w:rFonts w:ascii="Arial;sans-serif" w:hAnsi="Arial;sans-serif"/>
                <w:b/>
                <w:color w:val="000000"/>
                <w:sz w:val="18"/>
              </w:rPr>
              <w:t>10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17,400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16,457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943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15,588 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1,812 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Databases and technology</w:t>
            </w:r>
          </w:p>
        </w:tc>
        <w:tc>
          <w:tcPr>
            <w:tcW w:w="616"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18"/>
              </w:rPr>
            </w:pPr>
            <w:r>
              <w:rPr>
                <w:rFonts w:ascii="Arial;sans-serif" w:hAnsi="Arial;sans-serif"/>
                <w:b/>
                <w:color w:val="000000"/>
                <w:sz w:val="18"/>
              </w:rPr>
              <w:t>3–6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30,496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28,568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1,928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32,376 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30,293 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2,083 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Other</w:t>
            </w:r>
          </w:p>
        </w:tc>
        <w:tc>
          <w:tcPr>
            <w:tcW w:w="616"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18"/>
              </w:rPr>
            </w:pPr>
            <w:r>
              <w:rPr>
                <w:rFonts w:ascii="Arial;sans-serif" w:hAnsi="Arial;sans-serif"/>
                <w:b/>
                <w:color w:val="000000"/>
                <w:sz w:val="18"/>
              </w:rPr>
              <w:t>1–8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38,063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37,393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670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38,063 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37,266 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616"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490,196</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440,787</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49,409</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509,378 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447,747 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61,631 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rFonts w:ascii="Arial;sans-serif" w:hAnsi="Arial;sans-serif"/>
                <w:b/>
                <w:color w:val="000000"/>
                <w:sz w:val="18"/>
              </w:rPr>
            </w:pPr>
            <w:r>
              <w:rPr>
                <w:rFonts w:ascii="Arial;sans-serif" w:hAnsi="Arial;sans-serif"/>
                <w:b/>
                <w:color w:val="000000"/>
                <w:sz w:val="18"/>
              </w:rPr>
              <w:t>Indefinite-Lived Intangible Assets</w:t>
            </w:r>
          </w:p>
        </w:tc>
        <w:tc>
          <w:tcPr>
            <w:tcW w:w="616"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r>
      <w:tr>
        <w:trPr/>
        <w:tc>
          <w:tcPr>
            <w:tcW w:w="133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Franchise agreements</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97,002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97,002 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Trade names and trademarks</w:t>
            </w:r>
          </w:p>
        </w:tc>
        <w:tc>
          <w:tcPr>
            <w:tcW w:w="616"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62,185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62,653 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r>
      <w:tr>
        <w:trPr/>
        <w:tc>
          <w:tcPr>
            <w:tcW w:w="133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FCC licenses</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11,000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150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170,337</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170,805 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rPr>
      </w:pPr>
      <w:r>
        <w:rPr>
          <w:rFonts w:ascii="Arial;sans-serif" w:hAnsi="Arial;sans-serif"/>
          <w:b/>
          <w:color w:val="000000"/>
          <w:sz w:val="20"/>
        </w:rPr>
        <w:t>7. DEBT</w:t>
      </w:r>
    </w:p>
    <w:p>
      <w:pPr>
        <w:pStyle w:val="TextBody"/>
        <w:bidi w:val="0"/>
        <w:spacing w:lineRule="auto" w:line="264" w:before="0" w:after="0"/>
        <w:jc w:val="left"/>
        <w:rPr>
          <w:rFonts w:ascii="Arial;sans-serif" w:hAnsi="Arial;sans-serif"/>
          <w:b w:val="false"/>
          <w:color w:val="000000"/>
          <w:sz w:val="20"/>
        </w:rPr>
      </w:pPr>
      <w:r>
        <w:rPr>
          <w:rFonts w:ascii="Arial;sans-serif" w:hAnsi="Arial;sans-serif"/>
          <w:b w:val="false"/>
          <w:color w:val="000000"/>
          <w:sz w:val="20"/>
        </w:rPr>
        <w:t>The Company’s borrowings consist of the following:</w:t>
      </w:r>
    </w:p>
    <w:tbl>
      <w:tblPr>
        <w:tblW w:w="10205" w:type="dxa"/>
        <w:jc w:val="left"/>
        <w:tblInd w:w="0" w:type="dxa"/>
        <w:tblLayout w:type="fixed"/>
        <w:tblCellMar>
          <w:top w:w="28" w:type="dxa"/>
          <w:left w:w="28" w:type="dxa"/>
          <w:bottom w:w="28" w:type="dxa"/>
          <w:right w:w="28" w:type="dxa"/>
        </w:tblCellMar>
      </w:tblPr>
      <w:tblGrid>
        <w:gridCol w:w="740"/>
        <w:gridCol w:w="640"/>
        <w:gridCol w:w="642"/>
        <w:gridCol w:w="361"/>
        <w:gridCol w:w="361"/>
        <w:gridCol w:w="363"/>
        <w:gridCol w:w="109"/>
        <w:gridCol w:w="109"/>
        <w:gridCol w:w="109"/>
        <w:gridCol w:w="542"/>
        <w:gridCol w:w="542"/>
        <w:gridCol w:w="544"/>
        <w:gridCol w:w="109"/>
        <w:gridCol w:w="109"/>
        <w:gridCol w:w="109"/>
        <w:gridCol w:w="601"/>
        <w:gridCol w:w="601"/>
        <w:gridCol w:w="603"/>
        <w:gridCol w:w="109"/>
        <w:gridCol w:w="109"/>
        <w:gridCol w:w="109"/>
        <w:gridCol w:w="211"/>
        <w:gridCol w:w="841"/>
        <w:gridCol w:w="109"/>
        <w:gridCol w:w="109"/>
        <w:gridCol w:w="109"/>
        <w:gridCol w:w="109"/>
        <w:gridCol w:w="211"/>
        <w:gridCol w:w="826"/>
        <w:gridCol w:w="159"/>
      </w:tblGrid>
      <w:tr>
        <w:trPr/>
        <w:tc>
          <w:tcPr>
            <w:tcW w:w="7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2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As of</w:t>
            </w:r>
          </w:p>
        </w:tc>
      </w:tr>
      <w:tr>
        <w:trPr/>
        <w:tc>
          <w:tcPr>
            <w:tcW w:w="202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02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085"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Maturities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Stated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r>
      <w:tr>
        <w:trPr/>
        <w:tc>
          <w:tcPr>
            <w:tcW w:w="2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Unsecured notes </w:t>
            </w:r>
            <w:r>
              <w:rPr>
                <w:rFonts w:ascii="Arial;sans-serif" w:hAnsi="Arial;sans-serif"/>
                <w:b w:val="false"/>
                <w:color w:val="000000"/>
                <w:sz w:val="12"/>
              </w:rPr>
              <w:t>(1)</w:t>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2033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5.625%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5.625%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493,760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493,625 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02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Revolving credit facility</w:t>
            </w:r>
          </w:p>
        </w:tc>
        <w:tc>
          <w:tcPr>
            <w:tcW w:w="1085"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val="false"/>
                <w:color w:val="000000"/>
                <w:sz w:val="18"/>
              </w:rPr>
            </w:pPr>
            <w:r>
              <w:rPr>
                <w:rFonts w:ascii="Arial;sans-serif" w:hAnsi="Arial;sans-serif"/>
                <w:b w:val="false"/>
                <w:color w:val="000000"/>
                <w:sz w:val="18"/>
              </w:rPr>
              <w:t>5.00% - 7.13%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5.11%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231,159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222,466 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8"/>
              </w:rPr>
              <w:t xml:space="preserve">Real estate term loan </w:t>
            </w:r>
            <w:r>
              <w:rPr>
                <w:rFonts w:ascii="Arial;sans-serif" w:hAnsi="Arial;sans-serif"/>
                <w:b w:val="false"/>
                <w:color w:val="000000"/>
                <w:sz w:val="12"/>
              </w:rPr>
              <w:t>(2)</w:t>
            </w:r>
          </w:p>
        </w:tc>
        <w:tc>
          <w:tcPr>
            <w:tcW w:w="1085"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val="false"/>
                <w:color w:val="000000"/>
                <w:sz w:val="18"/>
              </w:rPr>
            </w:pPr>
            <w:r>
              <w:rPr>
                <w:rFonts w:ascii="Arial;sans-serif" w:hAnsi="Arial;sans-serif"/>
                <w:b w:val="false"/>
                <w:color w:val="000000"/>
                <w:sz w:val="18"/>
              </w:rPr>
              <w:t>5.37% - 5.45%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5.48%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89,356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91,836 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8"/>
              </w:rPr>
              <w:t xml:space="preserve">Capital term loan </w:t>
            </w:r>
            <w:r>
              <w:rPr>
                <w:rFonts w:ascii="Arial;sans-serif" w:hAnsi="Arial;sans-serif"/>
                <w:b w:val="false"/>
                <w:color w:val="000000"/>
                <w:sz w:val="12"/>
              </w:rPr>
              <w:t>(3)</w:t>
            </w:r>
          </w:p>
        </w:tc>
        <w:tc>
          <w:tcPr>
            <w:tcW w:w="1085"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val="false"/>
                <w:color w:val="000000"/>
                <w:sz w:val="18"/>
              </w:rPr>
            </w:pPr>
            <w:r>
              <w:rPr>
                <w:rFonts w:ascii="Arial;sans-serif" w:hAnsi="Arial;sans-serif"/>
                <w:b w:val="false"/>
                <w:color w:val="000000"/>
                <w:sz w:val="18"/>
              </w:rPr>
              <w:t>6.12% - 6.20%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6.22%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60,228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64,079 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02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02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02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02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02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Other indebtedness</w:t>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2026 - 2028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FFFFFF" w:val="clear"/>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val="false"/>
                <w:color w:val="000000"/>
                <w:sz w:val="18"/>
              </w:rPr>
            </w:pPr>
            <w:r>
              <w:rPr>
                <w:rFonts w:ascii="Arial;sans-serif" w:hAnsi="Arial;sans-serif"/>
                <w:b w:val="false"/>
                <w:color w:val="000000"/>
                <w:sz w:val="18"/>
              </w:rPr>
              <w:t>6.25% - 8.00%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25,870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8,750 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Total Debt</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900,373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880,756 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Less: current portion</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(191,472)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(175,138)</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Total Long-Term Debt</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708,901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705,618 </w:t>
            </w:r>
          </w:p>
        </w:tc>
        <w:tc>
          <w:tcPr>
            <w:tcW w:w="15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20"/>
        <w:jc w:val="left"/>
        <w:rPr>
          <w:rFonts w:ascii="Arial;sans-serif" w:hAnsi="Arial;sans-serif"/>
          <w:b w:val="false"/>
          <w:color w:val="000000"/>
          <w:sz w:val="16"/>
        </w:rPr>
      </w:pPr>
      <w:r>
        <w:rPr>
          <w:rFonts w:ascii="Arial;sans-serif" w:hAnsi="Arial;sans-serif"/>
          <w:b w:val="false"/>
          <w:color w:val="000000"/>
          <w:sz w:val="16"/>
        </w:rPr>
        <w:t>___________</w:t>
      </w:r>
    </w:p>
    <w:p>
      <w:pPr>
        <w:pStyle w:val="TextBody"/>
        <w:bidi w:val="0"/>
        <w:spacing w:lineRule="auto" w:line="252" w:before="60" w:after="60"/>
        <w:ind w:left="0" w:right="0" w:hanging="450"/>
        <w:jc w:val="left"/>
        <w:rPr/>
      </w:pPr>
      <w:r>
        <w:rPr>
          <w:rFonts w:ascii="Arial;sans-serif" w:hAnsi="Arial;sans-serif"/>
          <w:b w:val="false"/>
          <w:color w:val="000000"/>
          <w:sz w:val="16"/>
        </w:rPr>
        <w:t>(1)     </w:t>
      </w:r>
      <w:r>
        <w:rPr>
          <w:rFonts w:ascii="Arial;sans-serif" w:hAnsi="Arial;sans-serif"/>
          <w:b w:val="false"/>
          <w:color w:val="000000"/>
          <w:sz w:val="16"/>
          <w:shd w:fill="FFFFFF" w:val="clear"/>
        </w:rPr>
        <w:t>The carrying value is net of $6.2 million and $6.4 million of unamortized debt issuance costs as of June 30, 2026 and December 31, 2025, respectively</w:t>
      </w:r>
      <w:r>
        <w:rPr>
          <w:rFonts w:ascii="Arial;sans-serif" w:hAnsi="Arial;sans-serif"/>
          <w:b w:val="false"/>
          <w:color w:val="000000"/>
          <w:sz w:val="16"/>
        </w:rPr>
        <w:t>.</w:t>
      </w:r>
    </w:p>
    <w:p>
      <w:pPr>
        <w:pStyle w:val="TextBody"/>
        <w:bidi w:val="0"/>
        <w:spacing w:lineRule="auto" w:line="252" w:before="60" w:after="60"/>
        <w:ind w:left="0" w:right="0" w:hanging="450"/>
        <w:jc w:val="left"/>
        <w:rPr/>
      </w:pPr>
      <w:r>
        <w:rPr>
          <w:rFonts w:ascii="Arial;sans-serif" w:hAnsi="Arial;sans-serif"/>
          <w:b w:val="false"/>
          <w:color w:val="000000"/>
          <w:sz w:val="16"/>
        </w:rPr>
        <w:t xml:space="preserve">(2)     The carrying value is net of </w:t>
      </w:r>
      <w:r>
        <w:rPr>
          <w:rFonts w:ascii="Arial;sans-serif" w:hAnsi="Arial;sans-serif"/>
          <w:b w:val="false"/>
          <w:color w:val="000000"/>
          <w:sz w:val="16"/>
          <w:shd w:fill="FFFFFF" w:val="clear"/>
        </w:rPr>
        <w:t xml:space="preserve">$0.1 million </w:t>
      </w:r>
      <w:r>
        <w:rPr>
          <w:rFonts w:ascii="Arial;sans-serif" w:hAnsi="Arial;sans-serif"/>
          <w:b w:val="false"/>
          <w:color w:val="000000"/>
          <w:sz w:val="16"/>
        </w:rPr>
        <w:t xml:space="preserve">of unamortized debt issuance costs as of </w:t>
      </w:r>
      <w:r>
        <w:rPr>
          <w:rFonts w:ascii="Arial;sans-serif" w:hAnsi="Arial;sans-serif"/>
          <w:b w:val="false"/>
          <w:color w:val="000000"/>
          <w:sz w:val="16"/>
          <w:shd w:fill="FFFFFF" w:val="clear"/>
        </w:rPr>
        <w:t>June 30, 2026 and December 31, 2025.</w:t>
      </w:r>
    </w:p>
    <w:p>
      <w:pPr>
        <w:pStyle w:val="TextBody"/>
        <w:bidi w:val="0"/>
        <w:spacing w:lineRule="auto" w:line="252" w:before="0" w:after="180"/>
        <w:ind w:left="0" w:right="0" w:hanging="450"/>
        <w:jc w:val="left"/>
        <w:rPr/>
      </w:pPr>
      <w:r>
        <w:rPr>
          <w:rFonts w:ascii="Arial;sans-serif" w:hAnsi="Arial;sans-serif"/>
          <w:b w:val="false"/>
          <w:color w:val="000000"/>
          <w:sz w:val="16"/>
        </w:rPr>
        <w:t xml:space="preserve">(3)     The carrying value is net of </w:t>
      </w:r>
      <w:r>
        <w:rPr>
          <w:rFonts w:ascii="Arial;sans-serif" w:hAnsi="Arial;sans-serif"/>
          <w:b w:val="false"/>
          <w:color w:val="000000"/>
          <w:sz w:val="16"/>
          <w:shd w:fill="FFFFFF" w:val="clear"/>
        </w:rPr>
        <w:t xml:space="preserve">$0.4 million and $0.5 million </w:t>
      </w:r>
      <w:r>
        <w:rPr>
          <w:rFonts w:ascii="Arial;sans-serif" w:hAnsi="Arial;sans-serif"/>
          <w:b w:val="false"/>
          <w:color w:val="000000"/>
          <w:sz w:val="16"/>
        </w:rPr>
        <w:t xml:space="preserve">of unamortized debt issuance costs as of June 30, 2026 and </w:t>
      </w:r>
      <w:r>
        <w:rPr>
          <w:rFonts w:ascii="Arial;sans-serif" w:hAnsi="Arial;sans-serif"/>
          <w:b w:val="false"/>
          <w:color w:val="000000"/>
          <w:sz w:val="16"/>
          <w:shd w:fill="FFFFFF" w:val="clear"/>
        </w:rPr>
        <w:t>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180"/>
        <w:jc w:val="left"/>
        <w:rPr/>
      </w:pPr>
      <w:r>
        <w:rPr>
          <w:rFonts w:ascii="Arial;sans-serif" w:hAnsi="Arial;sans-serif"/>
          <w:b w:val="false"/>
          <w:color w:val="000000"/>
          <w:sz w:val="20"/>
        </w:rPr>
        <w:t xml:space="preserve">On November 24, 2025, the Company issued $500 million of 5.625% unsecured eight-year fixed-rate notes due December 1, 2033 (the Notes). Interest is paid semi-annually on June 1 and December 1. </w:t>
      </w:r>
      <w:r>
        <w:rPr>
          <w:rFonts w:ascii="Arial;sans-serif" w:hAnsi="Arial;sans-serif"/>
          <w:b w:val="false"/>
          <w:color w:val="000000"/>
          <w:sz w:val="20"/>
          <w:shd w:fill="FFFFFF" w:val="clear"/>
        </w:rPr>
        <w:t xml:space="preserve">Also on November 24, 2025, the Company used the net proceeds from the sale of the Notes, together with the borrowings under the revolving credit agreement, to (i) redeem the </w:t>
      </w:r>
      <w:r>
        <w:rPr>
          <w:rFonts w:ascii="Arial;sans-serif" w:hAnsi="Arial;sans-serif"/>
          <w:b w:val="false"/>
          <w:color w:val="000000"/>
          <w:sz w:val="20"/>
        </w:rPr>
        <w:t>$400 million</w:t>
      </w:r>
      <w:r>
        <w:rPr>
          <w:color w:val="000000"/>
          <w:shd w:fill="FFFFFF" w:val="clear"/>
        </w:rPr>
        <w:t xml:space="preserve"> </w:t>
      </w:r>
      <w:r>
        <w:rPr>
          <w:rFonts w:ascii="Arial;sans-serif" w:hAnsi="Arial;sans-serif"/>
          <w:b w:val="false"/>
          <w:color w:val="000000"/>
          <w:sz w:val="20"/>
          <w:shd w:fill="FFFFFF" w:val="clear"/>
        </w:rPr>
        <w:t xml:space="preserve">of </w:t>
      </w:r>
      <w:r>
        <w:rPr>
          <w:rFonts w:ascii="Arial;sans-serif" w:hAnsi="Arial;sans-serif"/>
          <w:b w:val="false"/>
          <w:color w:val="000000"/>
          <w:sz w:val="20"/>
        </w:rPr>
        <w:t>5.75%</w:t>
      </w:r>
      <w:r>
        <w:rPr>
          <w:color w:val="000000"/>
          <w:shd w:fill="FFFFFF" w:val="clear"/>
        </w:rPr>
        <w:t xml:space="preserve"> </w:t>
      </w:r>
      <w:r>
        <w:rPr>
          <w:rFonts w:ascii="Arial;sans-serif" w:hAnsi="Arial;sans-serif"/>
          <w:b w:val="false"/>
          <w:color w:val="000000"/>
          <w:sz w:val="20"/>
          <w:shd w:fill="FFFFFF" w:val="clear"/>
        </w:rPr>
        <w:t xml:space="preserve">unsecured notes due June 1, 2026, (ii) refinance outstanding revolving loans under the existing revolving credit facility, and (iii) repay all amounts outstanding under the Company’s existing </w:t>
      </w:r>
      <w:r>
        <w:rPr>
          <w:rFonts w:ascii="Arial;sans-serif" w:hAnsi="Arial;sans-serif"/>
          <w:b w:val="false"/>
          <w:color w:val="000000"/>
          <w:sz w:val="20"/>
        </w:rPr>
        <w:t>$150 million</w:t>
      </w:r>
      <w:r>
        <w:rPr>
          <w:color w:val="000000"/>
          <w:shd w:fill="FFFFFF" w:val="clear"/>
        </w:rPr>
        <w:t xml:space="preserve"> </w:t>
      </w:r>
      <w:r>
        <w:rPr>
          <w:rFonts w:ascii="Arial;sans-serif" w:hAnsi="Arial;sans-serif"/>
          <w:b w:val="false"/>
          <w:color w:val="000000"/>
          <w:sz w:val="20"/>
          <w:shd w:fill="FFFFFF" w:val="clear"/>
        </w:rPr>
        <w:t xml:space="preserve">term loan. </w:t>
      </w:r>
      <w:r>
        <w:rPr>
          <w:rFonts w:ascii="Arial;sans-serif" w:hAnsi="Arial;sans-serif"/>
          <w:b w:val="false"/>
          <w:color w:val="000000"/>
          <w:sz w:val="20"/>
        </w:rPr>
        <w:t>On October 21, 2025, the automotive subsidiary borrowed $38.7 million under the delayed draw term loan to finance the acquisition of a Honda automotive dealership, including the real property for the dealership operations.</w:t>
      </w:r>
    </w:p>
    <w:p>
      <w:pPr>
        <w:pStyle w:val="TextBody"/>
        <w:bidi w:val="0"/>
        <w:spacing w:lineRule="auto" w:line="264" w:before="0" w:after="180"/>
        <w:jc w:val="left"/>
        <w:rPr/>
      </w:pPr>
      <w:r>
        <w:rPr>
          <w:rFonts w:ascii="Arial;sans-serif" w:hAnsi="Arial;sans-serif"/>
          <w:b w:val="false"/>
          <w:color w:val="000000"/>
          <w:sz w:val="20"/>
          <w:shd w:fill="FFFFFF" w:val="clear"/>
        </w:rPr>
        <w:t xml:space="preserve">In combination with the issuance of the Notes, the Company amended and restated the Second Amended and Restated Five Year Credit Agreement, dated as of May 3, 2022, to, among other things, (i) increase the Company’s borrowing capacity by replacing the existing revolving commitments with a new revolving credit facility in the aggregate principal amount of </w:t>
      </w:r>
      <w:r>
        <w:rPr>
          <w:rFonts w:ascii="Arial;sans-serif" w:hAnsi="Arial;sans-serif"/>
          <w:b w:val="false"/>
          <w:color w:val="000000"/>
          <w:sz w:val="20"/>
        </w:rPr>
        <w:t>$400 million</w:t>
      </w:r>
      <w:r>
        <w:rPr>
          <w:rFonts w:ascii="Arial;sans-serif" w:hAnsi="Arial;sans-serif"/>
          <w:b w:val="false"/>
          <w:color w:val="000000"/>
          <w:sz w:val="20"/>
          <w:shd w:fill="FFFFFF" w:val="clear"/>
        </w:rPr>
        <w:t>, (ii) extend the maturity of the facility to November 24, 2030, and (iii) increase the letter of credit sublimit to</w:t>
      </w:r>
      <w:r>
        <w:rPr>
          <w:color w:val="000000"/>
        </w:rPr>
        <w:t xml:space="preserve"> </w:t>
      </w:r>
      <w:r>
        <w:rPr>
          <w:rFonts w:ascii="Arial;sans-serif" w:hAnsi="Arial;sans-serif"/>
          <w:b w:val="false"/>
          <w:color w:val="000000"/>
          <w:sz w:val="20"/>
        </w:rPr>
        <w:t>$40 million.</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At June 30, 2026 and December 31, 2025, the fair value of the Company’s 5.625% unsecured notes, based on quoted market prices (Level 2 fair value assessment), totaled $496.4 million and $504.0 million, respectively.</w:t>
      </w:r>
    </w:p>
    <w:p>
      <w:pPr>
        <w:pStyle w:val="TextBody"/>
        <w:bidi w:val="0"/>
        <w:spacing w:lineRule="auto" w:line="264" w:before="0" w:after="180"/>
        <w:jc w:val="left"/>
        <w:rPr/>
      </w:pPr>
      <w:r>
        <w:rPr>
          <w:rFonts w:ascii="Arial;sans-serif" w:hAnsi="Arial;sans-serif"/>
          <w:b w:val="false"/>
          <w:color w:val="000000"/>
          <w:sz w:val="20"/>
          <w:shd w:fill="FFFFFF" w:val="clear"/>
        </w:rPr>
        <w:t xml:space="preserve">The outstanding balance on the Company’s </w:t>
      </w:r>
      <w:r>
        <w:rPr>
          <w:rFonts w:ascii="Arial;sans-serif" w:hAnsi="Arial;sans-serif"/>
          <w:b w:val="false"/>
          <w:color w:val="000000"/>
          <w:sz w:val="20"/>
        </w:rPr>
        <w:t>$400 million</w:t>
      </w:r>
      <w:r>
        <w:rPr>
          <w:color w:val="000000"/>
          <w:shd w:fill="FFFFFF" w:val="clear"/>
        </w:rPr>
        <w:t xml:space="preserve"> </w:t>
      </w:r>
      <w:r>
        <w:rPr>
          <w:rFonts w:ascii="Arial;sans-serif" w:hAnsi="Arial;sans-serif"/>
          <w:b w:val="false"/>
          <w:color w:val="000000"/>
          <w:sz w:val="20"/>
          <w:shd w:fill="FFFFFF" w:val="clear"/>
        </w:rPr>
        <w:t xml:space="preserve">unsecured revolving credit facility was $231.2 million as of June 30, 2026, consisting of </w:t>
      </w:r>
      <w:r>
        <w:rPr>
          <w:rFonts w:ascii="Arial;sans-serif" w:hAnsi="Arial;sans-serif"/>
          <w:b w:val="false"/>
          <w:color w:val="000000"/>
          <w:sz w:val="20"/>
        </w:rPr>
        <w:t xml:space="preserve">U.S. dollar borrowings of </w:t>
      </w:r>
      <w:r>
        <w:rPr>
          <w:rFonts w:ascii="Arial;sans-serif" w:hAnsi="Arial;sans-serif"/>
          <w:b w:val="false"/>
          <w:color w:val="000000"/>
          <w:sz w:val="20"/>
          <w:shd w:fill="FFFFFF" w:val="clear"/>
        </w:rPr>
        <w:t>$165.0 million</w:t>
      </w:r>
      <w:r>
        <w:rPr>
          <w:color w:val="000000"/>
        </w:rPr>
        <w:t xml:space="preserve"> </w:t>
      </w:r>
      <w:r>
        <w:rPr>
          <w:rFonts w:ascii="Arial;sans-serif" w:hAnsi="Arial;sans-serif"/>
          <w:b w:val="false"/>
          <w:color w:val="000000"/>
          <w:sz w:val="20"/>
        </w:rPr>
        <w:t>with interest payable at SOFR plus 1.375% or prime rate plus 0.375%</w:t>
      </w:r>
      <w:r>
        <w:rPr>
          <w:rFonts w:ascii="Arial;sans-serif" w:hAnsi="Arial;sans-serif"/>
          <w:b w:val="false"/>
          <w:color w:val="000000"/>
          <w:sz w:val="20"/>
          <w:shd w:fill="FFFFFF" w:val="clear"/>
        </w:rPr>
        <w:t xml:space="preserve">, </w:t>
      </w:r>
      <w:r>
        <w:rPr>
          <w:rFonts w:ascii="Arial;sans-serif" w:hAnsi="Arial;sans-serif"/>
          <w:b w:val="false"/>
          <w:color w:val="000000"/>
          <w:sz w:val="20"/>
        </w:rPr>
        <w:t>and</w:t>
      </w:r>
      <w:r>
        <w:rPr>
          <w:color w:val="000000"/>
          <w:shd w:fill="FFFFFF" w:val="clear"/>
        </w:rPr>
        <w:t xml:space="preserve"> </w:t>
      </w:r>
      <w:r>
        <w:rPr>
          <w:rFonts w:ascii="Arial;sans-serif" w:hAnsi="Arial;sans-serif"/>
          <w:b w:val="false"/>
          <w:color w:val="000000"/>
          <w:sz w:val="20"/>
          <w:shd w:fill="FFFFFF" w:val="clear"/>
        </w:rPr>
        <w:t>British Pound borrowings of £50 million with interest payable at Daily Sterling Overnight Index Average (SONIA) plus 1.375%.</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fair value of the Company’s other debt, which is based on Level 2 inputs, approximates its carrying value as of June 30, 2026 and December 31, 2025. The Company is in compliance with all financial covenants of the revolving credit facility and term loans as of June 30, 2026.</w:t>
      </w:r>
    </w:p>
    <w:p>
      <w:pPr>
        <w:pStyle w:val="TextBody"/>
        <w:bidi w:val="0"/>
        <w:spacing w:lineRule="auto" w:line="264" w:before="0" w:after="180"/>
        <w:jc w:val="left"/>
        <w:rPr/>
      </w:pPr>
      <w:r>
        <w:rPr>
          <w:rFonts w:ascii="Arial;sans-serif" w:hAnsi="Arial;sans-serif"/>
          <w:b w:val="false"/>
          <w:color w:val="000000"/>
          <w:sz w:val="20"/>
          <w:shd w:fill="FFFFFF" w:val="clear"/>
        </w:rPr>
        <w:t xml:space="preserve">During the three months ended June 30, 2026 and 2025, the Company had average borrowings outstanding of approximately $899.4 million and $886.4 million, respectively, at average annual interest rates of approximately </w:t>
      </w:r>
      <w:r>
        <w:rPr>
          <w:rFonts w:ascii="Arial;sans-serif" w:hAnsi="Arial;sans-serif"/>
          <w:b w:val="false"/>
          <w:color w:val="000000"/>
          <w:sz w:val="20"/>
        </w:rPr>
        <w:t>5.7%</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6.0%</w:t>
      </w:r>
      <w:r>
        <w:rPr>
          <w:rFonts w:ascii="Arial;sans-serif" w:hAnsi="Arial;sans-serif"/>
          <w:b w:val="false"/>
          <w:color w:val="000000"/>
          <w:sz w:val="20"/>
          <w:shd w:fill="FFFFFF" w:val="clear"/>
        </w:rPr>
        <w:t xml:space="preserve">, respectively. During the </w:t>
      </w:r>
      <w:r>
        <w:rPr>
          <w:rFonts w:ascii="Arial;sans-serif" w:hAnsi="Arial;sans-serif"/>
          <w:b w:val="false"/>
          <w:color w:val="000000"/>
          <w:sz w:val="20"/>
        </w:rPr>
        <w:t>three</w:t>
      </w:r>
      <w:r>
        <w:rPr>
          <w:color w:val="000000"/>
          <w:shd w:fill="FFFFFF" w:val="clear"/>
        </w:rPr>
        <w:t xml:space="preserve"> </w:t>
      </w:r>
      <w:r>
        <w:rPr>
          <w:rFonts w:ascii="Arial;sans-serif" w:hAnsi="Arial;sans-serif"/>
          <w:b w:val="false"/>
          <w:color w:val="000000"/>
          <w:sz w:val="20"/>
          <w:shd w:fill="FFFFFF" w:val="clear"/>
        </w:rPr>
        <w:t xml:space="preserve">months ended June 30, 2026 and 2025, the Company incurred net interest expense of </w:t>
      </w:r>
      <w:r>
        <w:rPr>
          <w:rFonts w:ascii="Arial;sans-serif" w:hAnsi="Arial;sans-serif"/>
          <w:b w:val="false"/>
          <w:color w:val="000000"/>
          <w:sz w:val="20"/>
        </w:rPr>
        <w:t>$15.3 million</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$15.8 million</w:t>
      </w:r>
      <w:r>
        <w:rPr>
          <w:rFonts w:ascii="Arial;sans-serif" w:hAnsi="Arial;sans-serif"/>
          <w:b w:val="false"/>
          <w:color w:val="000000"/>
          <w:sz w:val="20"/>
          <w:shd w:fill="FFFFFF" w:val="clear"/>
        </w:rPr>
        <w:t>, respectively.</w:t>
      </w:r>
    </w:p>
    <w:p>
      <w:pPr>
        <w:pStyle w:val="TextBody"/>
        <w:bidi w:val="0"/>
        <w:spacing w:lineRule="auto" w:line="264" w:before="0" w:after="180"/>
        <w:jc w:val="left"/>
        <w:rPr/>
      </w:pPr>
      <w:r>
        <w:rPr>
          <w:rFonts w:ascii="Arial;sans-serif" w:hAnsi="Arial;sans-serif"/>
          <w:b w:val="false"/>
          <w:color w:val="000000"/>
          <w:sz w:val="20"/>
          <w:shd w:fill="FFFFFF" w:val="clear"/>
        </w:rPr>
        <w:t xml:space="preserve">During the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ended June 30, 2026 and 2025, the Company had average borrowings outstanding of approximately $895.5 million and $828.7 million, respectively, at average annual interest rates of approximately 5.7% and 6.0%, respectively. During the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ended June 30, 2026 and 2025, the Company incurred net interest expense of </w:t>
      </w:r>
      <w:r>
        <w:rPr>
          <w:rFonts w:ascii="Arial;sans-serif" w:hAnsi="Arial;sans-serif"/>
          <w:b w:val="false"/>
          <w:color w:val="000000"/>
          <w:sz w:val="20"/>
        </w:rPr>
        <w:t>$29.0 million</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$95.6 million</w:t>
      </w:r>
      <w:r>
        <w:rPr>
          <w:rFonts w:ascii="Arial;sans-serif" w:hAnsi="Arial;sans-serif"/>
          <w:b w:val="false"/>
          <w:color w:val="000000"/>
          <w:sz w:val="20"/>
          <w:shd w:fill="FFFFFF" w:val="clear"/>
        </w:rPr>
        <w:t>, respectively.</w:t>
      </w:r>
    </w:p>
    <w:p>
      <w:pPr>
        <w:pStyle w:val="TextBody"/>
        <w:bidi w:val="0"/>
        <w:spacing w:lineRule="auto" w:line="264" w:before="0" w:after="180"/>
        <w:jc w:val="left"/>
        <w:rPr/>
      </w:pPr>
      <w:r>
        <w:rPr>
          <w:rFonts w:ascii="Arial;sans-serif" w:hAnsi="Arial;sans-serif"/>
          <w:b w:val="false"/>
          <w:color w:val="000000"/>
          <w:sz w:val="20"/>
        </w:rPr>
        <w:t xml:space="preserve">During the three and six months ended </w:t>
      </w:r>
      <w:r>
        <w:rPr>
          <w:rFonts w:ascii="Arial;sans-serif" w:hAnsi="Arial;sans-serif"/>
          <w:b w:val="false"/>
          <w:color w:val="000000"/>
          <w:sz w:val="20"/>
          <w:shd w:fill="FFFFFF" w:val="clear"/>
        </w:rPr>
        <w:t xml:space="preserve">June 30, 2026, </w:t>
      </w:r>
      <w:r>
        <w:rPr>
          <w:rFonts w:ascii="Arial;sans-serif" w:hAnsi="Arial;sans-serif"/>
          <w:b w:val="false"/>
          <w:color w:val="000000"/>
          <w:sz w:val="20"/>
        </w:rPr>
        <w:t>the Company recorde</w:t>
      </w:r>
      <w:r>
        <w:rPr>
          <w:rFonts w:ascii="Arial;sans-serif" w:hAnsi="Arial;sans-serif"/>
          <w:b w:val="false"/>
          <w:color w:val="000000"/>
          <w:sz w:val="20"/>
          <w:shd w:fill="FFFFFF" w:val="clear"/>
        </w:rPr>
        <w:t xml:space="preserve">d a reduction in interest expense of </w:t>
      </w:r>
      <w:r>
        <w:rPr>
          <w:rFonts w:ascii="Arial;sans-serif" w:hAnsi="Arial;sans-serif"/>
          <w:b w:val="false"/>
          <w:color w:val="000000"/>
          <w:sz w:val="20"/>
        </w:rPr>
        <w:t>$0.2 million</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 xml:space="preserve">$0.9 million, respectively, to adjust the fair </w:t>
      </w:r>
      <w:r>
        <w:rPr>
          <w:rFonts w:ascii="Arial;sans-serif" w:hAnsi="Arial;sans-serif"/>
          <w:b w:val="false"/>
          <w:color w:val="000000"/>
          <w:sz w:val="20"/>
          <w:shd w:fill="FFFFFF" w:val="clear"/>
        </w:rPr>
        <w:t xml:space="preserve">value of the mandatorily redeemable noncontrolling interest. </w:t>
      </w:r>
      <w:r>
        <w:rPr>
          <w:rFonts w:ascii="Arial;sans-serif" w:hAnsi="Arial;sans-serif"/>
          <w:b w:val="false"/>
          <w:color w:val="000000"/>
          <w:sz w:val="20"/>
        </w:rPr>
        <w:t>During the three and six months ended June 30, 2025</w:t>
      </w:r>
      <w:r>
        <w:rPr>
          <w:rFonts w:ascii="Arial;sans-serif" w:hAnsi="Arial;sans-serif"/>
          <w:b w:val="false"/>
          <w:color w:val="000000"/>
          <w:sz w:val="20"/>
          <w:shd w:fill="FFFFFF" w:val="clear"/>
        </w:rPr>
        <w:t xml:space="preserve">, </w:t>
      </w:r>
      <w:r>
        <w:rPr>
          <w:rFonts w:ascii="Arial;sans-serif" w:hAnsi="Arial;sans-serif"/>
          <w:b w:val="false"/>
          <w:color w:val="000000"/>
          <w:sz w:val="20"/>
        </w:rPr>
        <w:t>the Company recorde</w:t>
      </w:r>
      <w:r>
        <w:rPr>
          <w:rFonts w:ascii="Arial;sans-serif" w:hAnsi="Arial;sans-serif"/>
          <w:b w:val="false"/>
          <w:color w:val="000000"/>
          <w:sz w:val="20"/>
          <w:shd w:fill="FFFFFF" w:val="clear"/>
        </w:rPr>
        <w:t xml:space="preserve">d interest expense of </w:t>
      </w:r>
      <w:r>
        <w:rPr>
          <w:rFonts w:ascii="Arial;sans-serif" w:hAnsi="Arial;sans-serif"/>
          <w:b w:val="false"/>
          <w:color w:val="000000"/>
          <w:sz w:val="20"/>
        </w:rPr>
        <w:t>$1.2 million and</w:t>
      </w:r>
      <w:r>
        <w:rPr>
          <w:color w:val="000000"/>
          <w:shd w:fill="FFFFFF" w:val="clear"/>
        </w:rPr>
        <w:t xml:space="preserve"> </w:t>
      </w:r>
      <w:r>
        <w:rPr>
          <w:rFonts w:ascii="Arial;sans-serif" w:hAnsi="Arial;sans-serif"/>
          <w:b w:val="false"/>
          <w:color w:val="000000"/>
          <w:sz w:val="20"/>
        </w:rPr>
        <w:t xml:space="preserve">$67.6 million, respectively, to adjust the fair </w:t>
      </w:r>
      <w:r>
        <w:rPr>
          <w:rFonts w:ascii="Arial;sans-serif" w:hAnsi="Arial;sans-serif"/>
          <w:b w:val="false"/>
          <w:color w:val="000000"/>
          <w:sz w:val="20"/>
          <w:shd w:fill="FFFFFF" w:val="clear"/>
        </w:rPr>
        <w:t xml:space="preserve">value of the mandatorily redeemable noncontrolling interest. </w:t>
      </w:r>
      <w:r>
        <w:rPr>
          <w:rFonts w:ascii="Arial;sans-serif" w:hAnsi="Arial;sans-serif"/>
          <w:b w:val="false"/>
          <w:color w:val="000000"/>
          <w:sz w:val="20"/>
        </w:rPr>
        <w:t>The fair value of the mandatorily redeemable noncontrolling interest was based on the fair value of the underlying subsidiaries owned by GHC One and GHC Two, after taking into account any debt and other noncontrolling interests of its subsidiary investments. The fair value of the owned subsidiaries is determined by reference to either a discounted cash flow or EBITDA multiple, which approximates fair value (Level 3 fair value assessment) (See Note 2 and 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180" w:after="140"/>
        <w:jc w:val="left"/>
        <w:rPr>
          <w:rFonts w:ascii="Arial;sans-serif" w:hAnsi="Arial;sans-serif"/>
          <w:b/>
          <w:color w:val="000000"/>
          <w:sz w:val="20"/>
        </w:rPr>
      </w:pPr>
      <w:r>
        <w:rPr>
          <w:rFonts w:ascii="Arial;sans-serif" w:hAnsi="Arial;sans-serif"/>
          <w:b/>
          <w:color w:val="000000"/>
          <w:sz w:val="20"/>
        </w:rPr>
        <w:t xml:space="preserve">8. FAIR VALUE MEASUREMENTS </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Company’s financial assets and liabilities measured at fair value on a recurring basis were as follows:</w:t>
      </w:r>
    </w:p>
    <w:tbl>
      <w:tblPr>
        <w:tblW w:w="10004" w:type="dxa"/>
        <w:jc w:val="left"/>
        <w:tblInd w:w="0" w:type="dxa"/>
        <w:tblLayout w:type="fixed"/>
        <w:tblCellMar>
          <w:top w:w="28" w:type="dxa"/>
          <w:left w:w="28" w:type="dxa"/>
          <w:bottom w:w="28" w:type="dxa"/>
          <w:right w:w="28" w:type="dxa"/>
        </w:tblCellMar>
      </w:tblPr>
      <w:tblGrid>
        <w:gridCol w:w="1574"/>
        <w:gridCol w:w="1382"/>
        <w:gridCol w:w="1393"/>
        <w:gridCol w:w="211"/>
        <w:gridCol w:w="991"/>
        <w:gridCol w:w="109"/>
        <w:gridCol w:w="109"/>
        <w:gridCol w:w="109"/>
        <w:gridCol w:w="109"/>
        <w:gridCol w:w="211"/>
        <w:gridCol w:w="736"/>
        <w:gridCol w:w="109"/>
        <w:gridCol w:w="109"/>
        <w:gridCol w:w="109"/>
        <w:gridCol w:w="109"/>
        <w:gridCol w:w="211"/>
        <w:gridCol w:w="631"/>
        <w:gridCol w:w="109"/>
        <w:gridCol w:w="109"/>
        <w:gridCol w:w="109"/>
        <w:gridCol w:w="109"/>
        <w:gridCol w:w="211"/>
        <w:gridCol w:w="991"/>
        <w:gridCol w:w="154"/>
      </w:tblGrid>
      <w:tr>
        <w:trPr/>
        <w:tc>
          <w:tcPr>
            <w:tcW w:w="15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21"/>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As of June 30, 2026</w:t>
            </w:r>
          </w:p>
        </w:tc>
      </w:tr>
      <w:tr>
        <w:trPr/>
        <w:tc>
          <w:tcPr>
            <w:tcW w:w="434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Total</w:t>
            </w:r>
          </w:p>
        </w:tc>
      </w:tr>
      <w:tr>
        <w:trPr/>
        <w:tc>
          <w:tcPr>
            <w:tcW w:w="4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Assets</w:t>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Money market investments</w:t>
            </w:r>
            <w:r>
              <w:rPr>
                <w:color w:val="000000"/>
                <w:shd w:fill="FFFFFF" w:val="clear"/>
              </w:rPr>
              <w:t xml:space="preserve"> </w:t>
            </w:r>
            <w:r>
              <w:rPr>
                <w:rFonts w:ascii="Arial;sans-serif" w:hAnsi="Arial;sans-serif"/>
                <w:b/>
                <w:color w:val="000000"/>
                <w:sz w:val="12"/>
                <w:shd w:fill="FFFFFF" w:val="clear"/>
              </w:rPr>
              <w:t>(1) </w:t>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7,285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7,285</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Marketable equity securities </w:t>
            </w:r>
            <w:r>
              <w:rPr>
                <w:rFonts w:ascii="Arial;sans-serif" w:hAnsi="Arial;sans-serif"/>
                <w:b/>
                <w:color w:val="000000"/>
                <w:sz w:val="12"/>
              </w:rPr>
              <w:t>(2)</w:t>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1,083,092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1,083,092</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Other current investments </w:t>
            </w:r>
            <w:r>
              <w:rPr>
                <w:rFonts w:ascii="Arial;sans-serif" w:hAnsi="Arial;sans-serif"/>
                <w:b/>
                <w:color w:val="000000"/>
                <w:sz w:val="12"/>
              </w:rPr>
              <w:t>(3)</w:t>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6,209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6,209</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color w:val="000000"/>
                <w:sz w:val="18"/>
              </w:rPr>
            </w:pPr>
            <w:r>
              <w:rPr>
                <w:rFonts w:ascii="Arial;sans-serif" w:hAnsi="Arial;sans-serif"/>
                <w:b/>
                <w:color w:val="000000"/>
                <w:sz w:val="18"/>
              </w:rPr>
              <w:t>Total Financial Assets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1,083,092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13,494</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1,096,586</w:t>
            </w:r>
            <w:r>
              <w:rPr>
                <w:color w:val="000000"/>
              </w:rPr>
              <w:t>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color w:val="000000"/>
                <w:sz w:val="18"/>
              </w:rPr>
            </w:pPr>
            <w:r>
              <w:rPr>
                <w:rFonts w:ascii="Arial;sans-serif" w:hAnsi="Arial;sans-serif"/>
                <w:b/>
                <w:color w:val="000000"/>
                <w:sz w:val="18"/>
              </w:rPr>
              <w:t>Liabilities</w:t>
            </w:r>
          </w:p>
        </w:tc>
        <w:tc>
          <w:tcPr>
            <w:tcW w:w="1311"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64" w:before="0" w:after="0"/>
              <w:jc w:val="left"/>
              <w:rPr>
                <w:color w:val="000000"/>
              </w:rPr>
            </w:pPr>
            <w:r>
              <w:rPr>
                <w:color w:val="000000"/>
              </w:rPr>
              <w:t>  </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64" w:before="0" w:after="0"/>
              <w:jc w:val="left"/>
              <w:rPr>
                <w:color w:val="000000"/>
              </w:rPr>
            </w:pPr>
            <w:r>
              <w:rPr>
                <w:color w:val="000000"/>
              </w:rPr>
              <w:t>  </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64" w:before="0" w:after="0"/>
              <w:jc w:val="left"/>
              <w:rPr>
                <w:color w:val="000000"/>
              </w:rPr>
            </w:pPr>
            <w:r>
              <w:rPr>
                <w:color w:val="000000"/>
              </w:rPr>
              <w:t>  </w:t>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Interest rate swaps </w:t>
            </w:r>
            <w:r>
              <w:rPr>
                <w:rFonts w:ascii="Arial;sans-serif" w:hAnsi="Arial;sans-serif"/>
                <w:b/>
                <w:color w:val="000000"/>
                <w:sz w:val="12"/>
              </w:rPr>
              <w:t>(4)</w:t>
            </w:r>
            <w:r>
              <w:rPr>
                <w:color w:val="000000"/>
              </w:rPr>
              <w:t> </w:t>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1,033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1,033</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Mandatorily redeemable noncontrolling interest </w:t>
            </w:r>
            <w:r>
              <w:rPr>
                <w:rFonts w:ascii="Arial;sans-serif" w:hAnsi="Arial;sans-serif"/>
                <w:b/>
                <w:color w:val="000000"/>
                <w:sz w:val="12"/>
              </w:rPr>
              <w:t>(5)</w:t>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7,423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7,423</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color w:val="000000"/>
                <w:sz w:val="18"/>
              </w:rPr>
            </w:pPr>
            <w:r>
              <w:rPr>
                <w:rFonts w:ascii="Arial;sans-serif" w:hAnsi="Arial;sans-serif"/>
                <w:b/>
                <w:color w:val="000000"/>
                <w:sz w:val="18"/>
              </w:rPr>
              <w:t>Total Financial Liabilities</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1,033</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7,423</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8,456</w:t>
            </w:r>
            <w:r>
              <w:rPr>
                <w:color w:val="000000"/>
              </w:rPr>
              <w:t>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765" w:type="dxa"/>
        <w:jc w:val="center"/>
        <w:tblInd w:w="0" w:type="dxa"/>
        <w:tblLayout w:type="fixed"/>
        <w:tblCellMar>
          <w:top w:w="28" w:type="dxa"/>
          <w:left w:w="28" w:type="dxa"/>
          <w:bottom w:w="28" w:type="dxa"/>
          <w:right w:w="28" w:type="dxa"/>
        </w:tblCellMar>
      </w:tblPr>
      <w:tblGrid>
        <w:gridCol w:w="1511"/>
        <w:gridCol w:w="1326"/>
        <w:gridCol w:w="1333"/>
        <w:gridCol w:w="211"/>
        <w:gridCol w:w="976"/>
        <w:gridCol w:w="109"/>
        <w:gridCol w:w="109"/>
        <w:gridCol w:w="109"/>
        <w:gridCol w:w="109"/>
        <w:gridCol w:w="211"/>
        <w:gridCol w:w="721"/>
        <w:gridCol w:w="109"/>
        <w:gridCol w:w="109"/>
        <w:gridCol w:w="109"/>
        <w:gridCol w:w="109"/>
        <w:gridCol w:w="211"/>
        <w:gridCol w:w="616"/>
        <w:gridCol w:w="109"/>
        <w:gridCol w:w="109"/>
        <w:gridCol w:w="109"/>
        <w:gridCol w:w="109"/>
        <w:gridCol w:w="211"/>
        <w:gridCol w:w="976"/>
        <w:gridCol w:w="154"/>
      </w:tblGrid>
      <w:tr>
        <w:trPr/>
        <w:tc>
          <w:tcPr>
            <w:tcW w:w="1511"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5" w:type="dxa"/>
            <w:gridSpan w:val="21"/>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As of December 31, 2025</w:t>
            </w:r>
          </w:p>
        </w:tc>
      </w:tr>
      <w:tr>
        <w:trPr/>
        <w:tc>
          <w:tcPr>
            <w:tcW w:w="417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Total</w:t>
            </w:r>
          </w:p>
        </w:tc>
      </w:tr>
      <w:tr>
        <w:trPr/>
        <w:tc>
          <w:tcPr>
            <w:tcW w:w="4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0"/>
              <w:jc w:val="left"/>
              <w:rPr>
                <w:rFonts w:ascii="Arial;sans-serif" w:hAnsi="Arial;sans-serif"/>
                <w:b/>
                <w:color w:val="000000"/>
                <w:sz w:val="18"/>
              </w:rPr>
            </w:pPr>
            <w:r>
              <w:rPr>
                <w:rFonts w:ascii="Arial;sans-serif" w:hAnsi="Arial;sans-serif"/>
                <w:b/>
                <w:color w:val="000000"/>
                <w:sz w:val="18"/>
              </w:rPr>
              <w:t>Assets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0"/>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0"/>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0"/>
              <w:jc w:val="left"/>
              <w:rPr>
                <w:color w:val="000000"/>
              </w:rPr>
            </w:pPr>
            <w:r>
              <w:rPr>
                <w:color w:val="000000"/>
              </w:rPr>
              <w:t>  </w:t>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Money market investments </w:t>
            </w:r>
            <w:r>
              <w:rPr>
                <w:rFonts w:ascii="Arial;sans-serif" w:hAnsi="Arial;sans-serif"/>
                <w:b w:val="false"/>
                <w:color w:val="000000"/>
                <w:sz w:val="12"/>
              </w:rPr>
              <w:t>(1) </w:t>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5,251 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5,251 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Marketable equity securities </w:t>
            </w:r>
            <w:r>
              <w:rPr>
                <w:rFonts w:ascii="Arial;sans-serif" w:hAnsi="Arial;sans-serif"/>
                <w:b w:val="false"/>
                <w:color w:val="000000"/>
                <w:sz w:val="12"/>
              </w:rPr>
              <w:t>(2)</w:t>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1,081,938 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1,081,938 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current investments </w:t>
            </w:r>
            <w:r>
              <w:rPr>
                <w:rFonts w:ascii="Arial;sans-serif" w:hAnsi="Arial;sans-serif"/>
                <w:b w:val="false"/>
                <w:color w:val="000000"/>
                <w:sz w:val="12"/>
              </w:rPr>
              <w:t>(3)</w:t>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7,032 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7,032 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color w:val="000000"/>
                <w:sz w:val="18"/>
              </w:rPr>
            </w:pPr>
            <w:r>
              <w:rPr>
                <w:rFonts w:ascii="Arial;sans-serif" w:hAnsi="Arial;sans-serif"/>
                <w:b/>
                <w:color w:val="000000"/>
                <w:sz w:val="18"/>
              </w:rPr>
              <w:t>Total Financial Assets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1,081,938 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12,283 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1,094,221 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color w:val="000000"/>
                <w:sz w:val="18"/>
              </w:rPr>
            </w:pPr>
            <w:r>
              <w:rPr>
                <w:rFonts w:ascii="Arial;sans-serif" w:hAnsi="Arial;sans-serif"/>
                <w:b/>
                <w:color w:val="000000"/>
                <w:sz w:val="18"/>
              </w:rPr>
              <w:t>Liabilities</w:t>
            </w:r>
          </w:p>
        </w:tc>
        <w:tc>
          <w:tcPr>
            <w:tcW w:w="1296"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64" w:before="0" w:after="0"/>
              <w:jc w:val="left"/>
              <w:rPr>
                <w:color w:val="000000"/>
              </w:rPr>
            </w:pPr>
            <w:r>
              <w:rPr>
                <w:color w:val="000000"/>
              </w:rPr>
              <w:t>  </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64" w:before="0" w:after="0"/>
              <w:jc w:val="left"/>
              <w:rPr>
                <w:color w:val="000000"/>
              </w:rPr>
            </w:pPr>
            <w:r>
              <w:rPr>
                <w:color w:val="000000"/>
              </w:rPr>
              <w:t>  </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64" w:before="0" w:after="0"/>
              <w:jc w:val="left"/>
              <w:rPr>
                <w:color w:val="000000"/>
              </w:rPr>
            </w:pPr>
            <w:r>
              <w:rPr>
                <w:color w:val="000000"/>
              </w:rPr>
              <w:t>  </w:t>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Contingent consideration liabilities </w:t>
            </w:r>
            <w:r>
              <w:rPr>
                <w:rFonts w:ascii="Arial;sans-serif" w:hAnsi="Arial;sans-serif"/>
                <w:b w:val="false"/>
                <w:color w:val="000000"/>
                <w:sz w:val="12"/>
              </w:rPr>
              <w:t>(6)</w:t>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Interest rate swaps </w:t>
            </w:r>
            <w:r>
              <w:rPr>
                <w:rFonts w:ascii="Arial;sans-serif" w:hAnsi="Arial;sans-serif"/>
                <w:b w:val="false"/>
                <w:color w:val="000000"/>
                <w:sz w:val="12"/>
                <w:shd w:fill="FFFFFF" w:val="clear"/>
              </w:rPr>
              <w:t>(4)</w:t>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2,289 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2,289 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Mandatorily redeemable noncontrolling interest </w:t>
            </w:r>
            <w:r>
              <w:rPr>
                <w:rFonts w:ascii="Arial;sans-serif" w:hAnsi="Arial;sans-serif"/>
                <w:b w:val="false"/>
                <w:color w:val="000000"/>
                <w:sz w:val="12"/>
              </w:rPr>
              <w:t>(5)</w:t>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8,401 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8,401 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color w:val="000000"/>
                <w:sz w:val="18"/>
              </w:rPr>
            </w:pPr>
            <w:r>
              <w:rPr>
                <w:rFonts w:ascii="Arial;sans-serif" w:hAnsi="Arial;sans-serif"/>
                <w:b/>
                <w:color w:val="000000"/>
                <w:sz w:val="18"/>
              </w:rPr>
              <w:t>Total Financial Liabilities</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2,289 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9,927 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12,216 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60"/>
        <w:jc w:val="left"/>
        <w:rPr>
          <w:rFonts w:ascii="Arial;sans-serif" w:hAnsi="Arial;sans-serif"/>
          <w:b w:val="false"/>
          <w:color w:val="000000"/>
          <w:sz w:val="16"/>
        </w:rPr>
      </w:pPr>
      <w:r>
        <w:rPr>
          <w:rFonts w:ascii="Arial;sans-serif" w:hAnsi="Arial;sans-serif"/>
          <w:b w:val="false"/>
          <w:color w:val="000000"/>
          <w:sz w:val="16"/>
        </w:rPr>
        <w:t>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34"/>
        <w:gridCol w:w="2777"/>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2" w:before="0" w:after="0"/>
              <w:ind w:left="0" w:right="0" w:hanging="450"/>
              <w:jc w:val="left"/>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6"/>
              </w:rPr>
            </w:pPr>
            <w:r>
              <w:rPr>
                <w:rFonts w:ascii="Arial;sans-serif" w:hAnsi="Arial;sans-serif"/>
                <w:b w:val="false"/>
                <w:color w:val="000000"/>
                <w:sz w:val="16"/>
              </w:rPr>
              <w:t>The Company’s money market investments are included in cash and cash equivalents and the value considers the liquidity of the counterparty.</w:t>
            </w:r>
          </w:p>
        </w:tc>
      </w:tr>
      <w:tr>
        <w:trPr/>
        <w:tc>
          <w:tcPr>
            <w:tcW w:w="342" w:type="dxa"/>
            <w:gridSpan w:val="3"/>
            <w:tcBorders/>
            <w:tcMar>
              <w:top w:w="0" w:type="dxa"/>
              <w:left w:w="0" w:type="dxa"/>
              <w:bottom w:w="0" w:type="dxa"/>
              <w:right w:w="0" w:type="dxa"/>
            </w:tcMar>
            <w:vAlign w:val="center"/>
          </w:tcPr>
          <w:p>
            <w:pPr>
              <w:pStyle w:val="TableContents"/>
              <w:bidi w:val="0"/>
              <w:spacing w:lineRule="auto" w:line="252" w:before="0" w:after="0"/>
              <w:ind w:left="0" w:right="0" w:hanging="450"/>
              <w:jc w:val="left"/>
              <w:rPr>
                <w:rFonts w:ascii="Arial;sans-serif" w:hAnsi="Arial;sans-serif"/>
                <w:b w:val="false"/>
                <w:color w:val="000000"/>
                <w:sz w:val="16"/>
              </w:rPr>
            </w:pPr>
            <w:r>
              <w:rPr>
                <w:rFonts w:ascii="Arial;sans-serif" w:hAnsi="Arial;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16"/>
              </w:rPr>
            </w:pPr>
            <w:r>
              <w:rPr>
                <w:rFonts w:ascii="Arial;sans-serif" w:hAnsi="Arial;sans-serif"/>
                <w:b w:val="false"/>
                <w:color w:val="000000"/>
                <w:sz w:val="16"/>
              </w:rPr>
              <w:t xml:space="preserve">The Company’s investments in marketable equity securities are held in common shares of U.S. corporations that are actively traded on U.S. stock exchanges. Price quotes for these shares are readily available. </w:t>
            </w:r>
          </w:p>
        </w:tc>
      </w:tr>
      <w:tr>
        <w:trPr/>
        <w:tc>
          <w:tcPr>
            <w:tcW w:w="342" w:type="dxa"/>
            <w:gridSpan w:val="3"/>
            <w:tcBorders/>
            <w:tcMar>
              <w:top w:w="0" w:type="dxa"/>
              <w:left w:w="0" w:type="dxa"/>
              <w:bottom w:w="0" w:type="dxa"/>
              <w:right w:w="0" w:type="dxa"/>
            </w:tcMar>
            <w:vAlign w:val="center"/>
          </w:tcPr>
          <w:p>
            <w:pPr>
              <w:pStyle w:val="TableContents"/>
              <w:bidi w:val="0"/>
              <w:spacing w:lineRule="auto" w:line="252" w:before="0" w:after="0"/>
              <w:ind w:left="0" w:right="0" w:hanging="450"/>
              <w:jc w:val="left"/>
              <w:rPr>
                <w:rFonts w:ascii="Arial;sans-serif" w:hAnsi="Arial;sans-serif"/>
                <w:b w:val="false"/>
                <w:color w:val="000000"/>
                <w:sz w:val="16"/>
              </w:rPr>
            </w:pPr>
            <w:r>
              <w:rPr>
                <w:rFonts w:ascii="Arial;sans-serif" w:hAnsi="Arial;sans-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Includes mutual funds, which are valued using a market approach based on the quoted market prices of the security or inputs that include quoted market prices for similar instruments.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252" w:before="0" w:after="0"/>
              <w:ind w:left="0" w:right="0" w:hanging="450"/>
              <w:jc w:val="left"/>
              <w:rPr>
                <w:rFonts w:ascii="Arial;sans-serif" w:hAnsi="Arial;sans-serif"/>
                <w:b w:val="false"/>
                <w:color w:val="000000"/>
                <w:sz w:val="16"/>
              </w:rPr>
            </w:pPr>
            <w:r>
              <w:rPr>
                <w:rFonts w:ascii="Arial;sans-serif" w:hAnsi="Arial;sans-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Included in Other Liabilities. The Company utilized a market approach model using the notional amount of the interest rate swaps multiplied by the observable inputs of time to maturity and market interest rates.</w:t>
            </w:r>
          </w:p>
        </w:tc>
      </w:tr>
      <w:tr>
        <w:trPr/>
        <w:tc>
          <w:tcPr>
            <w:tcW w:w="342" w:type="dxa"/>
            <w:gridSpan w:val="3"/>
            <w:tcBorders/>
            <w:tcMar>
              <w:top w:w="0" w:type="dxa"/>
              <w:left w:w="0" w:type="dxa"/>
              <w:bottom w:w="0" w:type="dxa"/>
              <w:right w:w="0" w:type="dxa"/>
            </w:tcMar>
            <w:vAlign w:val="center"/>
          </w:tcPr>
          <w:p>
            <w:pPr>
              <w:pStyle w:val="TableContents"/>
              <w:bidi w:val="0"/>
              <w:spacing w:lineRule="auto" w:line="252" w:before="0" w:after="0"/>
              <w:ind w:left="0" w:right="0" w:hanging="450"/>
              <w:jc w:val="left"/>
              <w:rPr>
                <w:rFonts w:ascii="Arial;sans-serif" w:hAnsi="Arial;sans-serif"/>
                <w:b w:val="false"/>
                <w:color w:val="000000"/>
                <w:sz w:val="16"/>
              </w:rPr>
            </w:pPr>
            <w:r>
              <w:rPr>
                <w:rFonts w:ascii="Arial;sans-serif" w:hAnsi="Arial;sans-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The fair value of the mandatorily redeemable noncontrolling interest is based on the fair value of the underlying subsidiaries owned by GHC One and GHC Two, after taking into account any debt and other noncontrolling interests of its subsidiary investments. The fair value of the owned subsidiaries is determined using enterprise value analyses which include an equal weighing between guideline public company and discounted cash flow analyses.</w:t>
            </w:r>
          </w:p>
        </w:tc>
      </w:tr>
      <w:tr>
        <w:trPr/>
        <w:tc>
          <w:tcPr>
            <w:tcW w:w="342" w:type="dxa"/>
            <w:gridSpan w:val="3"/>
            <w:tcBorders/>
            <w:tcMar>
              <w:top w:w="0" w:type="dxa"/>
              <w:left w:w="0" w:type="dxa"/>
              <w:bottom w:w="0" w:type="dxa"/>
              <w:right w:w="0" w:type="dxa"/>
            </w:tcMar>
            <w:vAlign w:val="center"/>
          </w:tcPr>
          <w:p>
            <w:pPr>
              <w:pStyle w:val="TableContents"/>
              <w:bidi w:val="0"/>
              <w:spacing w:lineRule="auto" w:line="252" w:before="0" w:after="0"/>
              <w:ind w:left="0" w:right="0" w:hanging="450"/>
              <w:jc w:val="left"/>
              <w:rPr>
                <w:rFonts w:ascii="Arial;sans-serif" w:hAnsi="Arial;sans-serif"/>
                <w:b w:val="false"/>
                <w:color w:val="000000"/>
                <w:sz w:val="16"/>
              </w:rPr>
            </w:pPr>
            <w:r>
              <w:rPr>
                <w:rFonts w:ascii="Arial;sans-serif" w:hAnsi="Arial;sans-serif"/>
                <w:b w:val="false"/>
                <w:color w:val="000000"/>
                <w:sz w:val="16"/>
              </w:rPr>
              <w:t>(6)</w:t>
            </w:r>
          </w:p>
        </w:tc>
        <w:tc>
          <w:tcPr>
            <w:tcW w:w="986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Included in Accounts payable, vehicle floor plan payable and accrued liabilities and Other Liabilities. The Company determined the fair value of the contingent consideration liabilities using either a Monte Carlo simulation, Black-Scholes model, or probability-weighted analysis depending on the type of target included in the contingent consideration requirements (revenue, EBITDA, client retention). All analyses included estimated financial projections for the acquired businesses and acquisition-specific discount rates.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following tables provide a reconciliation of changes in the Company’s financial liabilities measured at fair value on a recurring basis, using Level 3 inputs:</w:t>
      </w:r>
    </w:p>
    <w:tbl>
      <w:tblPr>
        <w:tblW w:w="10205" w:type="dxa"/>
        <w:jc w:val="left"/>
        <w:tblInd w:w="0" w:type="dxa"/>
        <w:tblLayout w:type="fixed"/>
        <w:tblCellMar>
          <w:top w:w="28" w:type="dxa"/>
          <w:left w:w="28" w:type="dxa"/>
          <w:bottom w:w="28" w:type="dxa"/>
          <w:right w:w="28" w:type="dxa"/>
        </w:tblCellMar>
      </w:tblPr>
      <w:tblGrid>
        <w:gridCol w:w="1309"/>
        <w:gridCol w:w="1112"/>
        <w:gridCol w:w="1118"/>
        <w:gridCol w:w="609"/>
        <w:gridCol w:w="1781"/>
        <w:gridCol w:w="317"/>
        <w:gridCol w:w="109"/>
        <w:gridCol w:w="109"/>
        <w:gridCol w:w="109"/>
        <w:gridCol w:w="768"/>
        <w:gridCol w:w="2299"/>
        <w:gridCol w:w="565"/>
      </w:tblGrid>
      <w:tr>
        <w:trPr/>
        <w:tc>
          <w:tcPr>
            <w:tcW w:w="130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2707"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Contingent consideration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2"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Mandatorily redeemable noncontrolling interest</w:t>
            </w:r>
          </w:p>
        </w:tc>
      </w:tr>
      <w:tr>
        <w:trPr/>
        <w:tc>
          <w:tcPr>
            <w:tcW w:w="35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As of December 31, 2025</w:t>
            </w:r>
          </w:p>
        </w:tc>
        <w:tc>
          <w:tcPr>
            <w:tcW w:w="6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1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1,526 </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22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8,401 </w:t>
            </w:r>
          </w:p>
        </w:tc>
        <w:tc>
          <w:tcPr>
            <w:tcW w:w="5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2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2"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color w:val="000000"/>
                <w:sz w:val="18"/>
              </w:rPr>
              <w:t xml:space="preserve">Changes in fair value </w:t>
            </w:r>
            <w:r>
              <w:rPr>
                <w:rFonts w:ascii="Arial;sans-serif" w:hAnsi="Arial;sans-serif"/>
                <w:b/>
                <w:color w:val="000000"/>
                <w:sz w:val="12"/>
              </w:rPr>
              <w:t>(1)</w:t>
            </w:r>
          </w:p>
        </w:tc>
        <w:tc>
          <w:tcPr>
            <w:tcW w:w="239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(882)</w:t>
            </w:r>
          </w:p>
        </w:tc>
        <w:tc>
          <w:tcPr>
            <w:tcW w:w="5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color w:val="000000"/>
                <w:sz w:val="18"/>
              </w:rPr>
            </w:pPr>
            <w:r>
              <w:rPr>
                <w:rFonts w:ascii="Arial;sans-serif" w:hAnsi="Arial;sans-serif"/>
                <w:b/>
                <w:color w:val="000000"/>
                <w:sz w:val="18"/>
              </w:rPr>
              <w:t>Capital contributions</w:t>
            </w:r>
          </w:p>
        </w:tc>
        <w:tc>
          <w:tcPr>
            <w:tcW w:w="239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w:t>
            </w:r>
            <w:r>
              <w:rPr>
                <w:color w:val="000000"/>
              </w:rPr>
              <w:t> </w:t>
            </w:r>
          </w:p>
        </w:tc>
        <w:tc>
          <w:tcPr>
            <w:tcW w:w="5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color w:val="000000"/>
                <w:sz w:val="18"/>
              </w:rPr>
              <w:t xml:space="preserve">Accretion of value included in net income </w:t>
            </w:r>
            <w:r>
              <w:rPr>
                <w:rFonts w:ascii="Arial;sans-serif" w:hAnsi="Arial;sans-serif"/>
                <w:b/>
                <w:color w:val="000000"/>
                <w:sz w:val="12"/>
              </w:rPr>
              <w:t>(1)</w:t>
            </w:r>
          </w:p>
        </w:tc>
        <w:tc>
          <w:tcPr>
            <w:tcW w:w="239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28</w:t>
            </w:r>
            <w:r>
              <w:rPr>
                <w:color w:val="000000"/>
              </w:rPr>
              <w:t>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color w:val="000000"/>
                <w:sz w:val="18"/>
              </w:rPr>
            </w:pPr>
            <w:r>
              <w:rPr>
                <w:rFonts w:ascii="Arial;sans-serif" w:hAnsi="Arial;sans-serif"/>
                <w:b/>
                <w:color w:val="000000"/>
                <w:sz w:val="18"/>
              </w:rPr>
              <w:t>Settlements or distributions</w:t>
            </w:r>
          </w:p>
        </w:tc>
        <w:tc>
          <w:tcPr>
            <w:tcW w:w="23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(299)</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(100)</w:t>
            </w:r>
          </w:p>
        </w:tc>
        <w:tc>
          <w:tcPr>
            <w:tcW w:w="5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color w:val="000000"/>
                <w:sz w:val="18"/>
              </w:rPr>
            </w:pPr>
            <w:r>
              <w:rPr>
                <w:rFonts w:ascii="Arial;sans-serif" w:hAnsi="Arial;sans-serif"/>
                <w:b/>
                <w:color w:val="000000"/>
                <w:sz w:val="18"/>
              </w:rPr>
              <w:t>Foreign currency exchange rate changes</w:t>
            </w:r>
          </w:p>
        </w:tc>
        <w:tc>
          <w:tcPr>
            <w:tcW w:w="23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Disposition of business</w:t>
            </w:r>
          </w:p>
        </w:tc>
        <w:tc>
          <w:tcPr>
            <w:tcW w:w="23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(1,253)</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color w:val="000000"/>
                <w:sz w:val="18"/>
              </w:rPr>
            </w:pPr>
            <w:r>
              <w:rPr>
                <w:rFonts w:ascii="Arial;sans-serif" w:hAnsi="Arial;sans-serif"/>
                <w:b/>
                <w:color w:val="000000"/>
                <w:sz w:val="18"/>
              </w:rPr>
              <w:t>As of June 30, 2026</w:t>
            </w:r>
          </w:p>
        </w:tc>
        <w:tc>
          <w:tcPr>
            <w:tcW w:w="6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17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color w:val="000000"/>
              </w:rPr>
            </w:pPr>
            <w:r>
              <w:rPr>
                <w:color w:val="000000"/>
              </w:rPr>
              <w:t>— </w:t>
            </w:r>
          </w:p>
        </w:tc>
        <w:tc>
          <w:tcPr>
            <w:tcW w:w="3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229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7,423</w:t>
            </w:r>
            <w:r>
              <w:rPr>
                <w:color w:val="000000"/>
              </w:rPr>
              <w:t> </w:t>
            </w:r>
          </w:p>
        </w:tc>
        <w:tc>
          <w:tcPr>
            <w:tcW w:w="56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63"/>
        <w:gridCol w:w="1085"/>
        <w:gridCol w:w="1092"/>
        <w:gridCol w:w="617"/>
        <w:gridCol w:w="1806"/>
        <w:gridCol w:w="321"/>
        <w:gridCol w:w="109"/>
        <w:gridCol w:w="109"/>
        <w:gridCol w:w="109"/>
        <w:gridCol w:w="651"/>
        <w:gridCol w:w="2557"/>
        <w:gridCol w:w="486"/>
      </w:tblGrid>
      <w:tr>
        <w:trPr/>
        <w:tc>
          <w:tcPr>
            <w:tcW w:w="1263"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2744"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Contingent consideration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4"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Mandatorily redeemable noncontrolling interest</w:t>
            </w:r>
          </w:p>
        </w:tc>
      </w:tr>
      <w:tr>
        <w:trPr/>
        <w:tc>
          <w:tcPr>
            <w:tcW w:w="3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As of December 31, 2024</w:t>
            </w:r>
          </w:p>
        </w:tc>
        <w:tc>
          <w:tcPr>
            <w:tcW w:w="61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180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1,419 </w:t>
            </w:r>
          </w:p>
        </w:tc>
        <w:tc>
          <w:tcPr>
            <w:tcW w:w="3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255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159,548 </w:t>
            </w:r>
          </w:p>
        </w:tc>
        <w:tc>
          <w:tcPr>
            <w:tcW w:w="4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vAlign w:val="center"/>
          </w:tcPr>
          <w:p>
            <w:pPr>
              <w:pStyle w:val="TableContents"/>
              <w:bidi w:val="0"/>
              <w:spacing w:before="0" w:after="283"/>
              <w:jc w:val="left"/>
              <w:rPr>
                <w:sz w:val="4"/>
                <w:szCs w:val="4"/>
              </w:rPr>
            </w:pPr>
            <w:r>
              <w:rPr>
                <w:sz w:val="4"/>
                <w:szCs w:val="4"/>
              </w:rPr>
            </w:r>
          </w:p>
        </w:tc>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4" w:type="dxa"/>
            <w:gridSpan w:val="3"/>
            <w:tcBorders/>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8"/>
              </w:rPr>
              <w:t xml:space="preserve">Changes in fair value </w:t>
            </w:r>
            <w:r>
              <w:rPr>
                <w:rFonts w:ascii="Arial;sans-serif" w:hAnsi="Arial;sans-serif"/>
                <w:b w:val="false"/>
                <w:color w:val="000000"/>
                <w:sz w:val="12"/>
              </w:rPr>
              <w:t>(1)</w:t>
            </w:r>
          </w:p>
        </w:tc>
        <w:tc>
          <w:tcPr>
            <w:tcW w:w="2423"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67,560 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Capital contributions</w:t>
            </w:r>
          </w:p>
        </w:tc>
        <w:tc>
          <w:tcPr>
            <w:tcW w:w="2423"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8"/>
              </w:rPr>
              <w:t xml:space="preserve">Accretion of value included in net income </w:t>
            </w:r>
            <w:r>
              <w:rPr>
                <w:rFonts w:ascii="Arial;sans-serif" w:hAnsi="Arial;sans-serif"/>
                <w:b w:val="false"/>
                <w:color w:val="000000"/>
                <w:sz w:val="12"/>
              </w:rPr>
              <w:t>(1)</w:t>
            </w:r>
          </w:p>
        </w:tc>
        <w:tc>
          <w:tcPr>
            <w:tcW w:w="2423"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Settlements or distributions</w:t>
            </w:r>
          </w:p>
        </w:tc>
        <w:tc>
          <w:tcPr>
            <w:tcW w:w="2423"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(317)</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(205,672)</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Foreign currency exchange rate changes</w:t>
            </w:r>
          </w:p>
        </w:tc>
        <w:tc>
          <w:tcPr>
            <w:tcW w:w="2423"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As of June 30, 2025</w:t>
            </w:r>
          </w:p>
        </w:tc>
        <w:tc>
          <w:tcPr>
            <w:tcW w:w="6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18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1,349 </w:t>
            </w:r>
          </w:p>
        </w:tc>
        <w:tc>
          <w:tcPr>
            <w:tcW w:w="3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255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21,516 </w:t>
            </w:r>
          </w:p>
        </w:tc>
        <w:tc>
          <w:tcPr>
            <w:tcW w:w="4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60"/>
        <w:jc w:val="left"/>
        <w:rPr>
          <w:rFonts w:ascii="Arial;sans-serif" w:hAnsi="Arial;sans-serif"/>
          <w:b w:val="false"/>
          <w:color w:val="000000"/>
          <w:sz w:val="16"/>
        </w:rPr>
      </w:pPr>
      <w:r>
        <w:rPr>
          <w:rFonts w:ascii="Arial;sans-serif" w:hAnsi="Arial;sans-serif"/>
          <w:b w:val="false"/>
          <w:color w:val="000000"/>
          <w:sz w:val="16"/>
        </w:rPr>
        <w:t>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 xml:space="preserve">Changes in fair value and accretion of value of contingent consideration liabilities are included in Selling, general and administrative expenses and the changes in fair value of mandatorily redeemable noncontrolling interest is included in Interest expense in the Company’s Condensed Consolidated Statements of Operations. </w:t>
            </w:r>
          </w:p>
        </w:tc>
      </w:tr>
    </w:tbl>
    <w:p>
      <w:pPr>
        <w:pStyle w:val="TextBody"/>
        <w:bidi w:val="0"/>
        <w:spacing w:lineRule="auto" w:line="264" w:before="0" w:after="180"/>
        <w:jc w:val="left"/>
        <w:rPr/>
      </w:pPr>
      <w:r>
        <w:rPr>
          <w:rFonts w:ascii="Arial;sans-serif" w:hAnsi="Arial;sans-serif"/>
          <w:b/>
          <w:color w:val="000000"/>
          <w:sz w:val="20"/>
        </w:rPr>
        <w:t xml:space="preserve">Mandatorily Redeemable Noncontrolling Interest. </w:t>
      </w:r>
      <w:r>
        <w:rPr>
          <w:rFonts w:ascii="Arial;sans-serif" w:hAnsi="Arial;sans-serif"/>
          <w:b w:val="false"/>
          <w:color w:val="000000"/>
          <w:sz w:val="20"/>
        </w:rPr>
        <w:t>The mandatorily redeemable noncontrolling interest represents the ownership portion of a group of minority shareholders, consisting of a group of current and former senior managers of the healthcare business, in subsidiaries of GHG. The Company established GHC One and GHC Two as vehicles to invest in a portfolio of healthcare businesses together with the group of senior managers of GHG. As the holder of preferred units, the Company is obligated to contribute 95% of the capital required for the acquisition of portfolio investments with the remaining 5% of the capital coming from the group of senior managers. The operating agreements of GHC One and GHC Two require the dissolution of the entities on March 31, 2026, and March 31, 2029, respectively, at which time the net assets will be distributed to its members. As a preferred unit holder, the Company will receive an amount up to its contributed capital plus a preferred annual return of 8% (guaranteed return) after the group of senior managers has received the redemption of their 5% interest in net assets (manager return). All distributions in excess of the manager and guaranteed return will be paid to common unit holders, which currently comprise the group of senior managers of GHG. The Company may convert its preferred units to common units at any time after which it will receive 80% of all distributions in excess of the manager return, with the remaining 20% of excess distributions going to the group of senior managers as holders of the other common units. The mandatorily redeemable noncontrolling interest related to GHC One is reported as a current liability at June 30, 2026 and December 31, 2025 in the Condensed Consolidated Balance Sheets. The mandatorily redeemable noncontrolling interest related to GHC Two is reported as a noncurrent liability at June 30, 2026 and December 31, 2025 in the Condensed Consolidated Balance Sheets.</w:t>
      </w:r>
    </w:p>
    <w:p>
      <w:pPr>
        <w:pStyle w:val="TextBody"/>
        <w:bidi w:val="0"/>
        <w:spacing w:lineRule="auto" w:line="264" w:before="0" w:after="180"/>
        <w:jc w:val="left"/>
        <w:rPr/>
      </w:pPr>
      <w:r>
        <w:rPr>
          <w:rFonts w:ascii="Arial;sans-serif" w:hAnsi="Arial;sans-serif"/>
          <w:b/>
          <w:color w:val="000000"/>
          <w:sz w:val="20"/>
        </w:rPr>
        <w:t xml:space="preserve">Other. </w:t>
      </w:r>
      <w:r>
        <w:rPr>
          <w:rFonts w:ascii="Arial;sans-serif" w:hAnsi="Arial;sans-serif"/>
          <w:b w:val="false"/>
          <w:color w:val="000000"/>
          <w:sz w:val="20"/>
        </w:rPr>
        <w:t>During the six months ended June 30, 2026, in connection with the sale of the KLG disposal group, the Company recognized total impairment charges of $19.0 million, consisting of a $1.0 million goodwill impairment charge and an $18.0 million impairment charge related to the disposal group. The Company used a market approach to estimate the fair value of KLG disposal group (see Note 2 and 6).</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 xml:space="preserve">During the three and six months ended June 30, 2026, the Company recorded an impairment charge of $5.8 million on one of its investments in affiliates (see Note 3). The Company used a market approach to determine the estimated fair value of its investment in affiliate. </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 xml:space="preserve">During the three and six months ended June 30, 2025, the Company recorded impairment losses of $12.7 million to equity securities that are accounted for as cost method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rPr>
      </w:pPr>
      <w:r>
        <w:rPr>
          <w:rFonts w:ascii="Arial;sans-serif" w:hAnsi="Arial;sans-serif"/>
          <w:b/>
          <w:color w:val="000000"/>
          <w:sz w:val="20"/>
        </w:rPr>
        <w:t>9. INCOME TAXES</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 xml:space="preserve">The Company recognized a U.S. income tax benefit of $69.6 million during the six months ended June 30, 2026, in connection with the restructuring and sale of the KLG business. No corresponding tax benefit was recognized in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other jurisdiction. The Company continues to monitor relevant developments, including any forthcoming Internal Revenue Service guidance, that could affect the ultimate realization of this benefit.</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As a result of the significant U.S. income tax benefit recorded related to the KLG business, the Company has recorded a Pillar Two top-up income tax accrual and expense of $19.2 million. In January 2026, the Organization for Economic Co-operation and Development (OECD) published administrative guidance introducing a Side-by-Side (SbS) Safe Harbor that would effectively exempt U.S. parent multinational groups from Pillar Two top-up tax on their U.S. source income. The SbS Safe Harbor is only effective to the extent participating countries have enacted legislation adopting the guidance. The Company has assessed current law and administrative guidance in relevant non-U.S. jurisdictions. Currently, not all participating countries have enacted legislation to adopt the SbS Safe Harbor, including the U.K. The Company will continue to monitor local implementation and guidance as non-U.S. countries adopt the SbS Safe Harbor into domestic law. The enactment of such legislation in the U.K. and other jurisdictions would have a favorable impact on the Pillar Two top-up tax accrued for 2026, and could result in a complete reversal of the $19.2 million accrued amount without payment.</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 xml:space="preserve">The Company's effective tax rate for the first six months of 2026 and 2025 was 12.6% and 29.8%,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rPr>
      </w:pPr>
      <w:r>
        <w:rPr>
          <w:rFonts w:ascii="Arial;sans-serif" w:hAnsi="Arial;sans-serif"/>
          <w:b/>
          <w:color w:val="000000"/>
          <w:sz w:val="20"/>
        </w:rPr>
        <w:t>10. REVENUE FROM CONTRACTS WITH CUSTOMERS</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 xml:space="preserve">The Company generated 80% and 79% of its revenue from U.S. domestic sales for the three and six months ended June 30, 2026, respectively. The remaining 20% and 21% of revenue was generated from non-U.S. sales for the three and six months ended June 30, 2026, respectively. For the three and six months ended June 30, 2025, 78% of revenue was from U.S. domestic sales and the remaining 22% of revenue was generated from non-U.S. sales. </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For the three and six months ended June 30, 2026, the Company recognized 51% and 52%, respectively, of its revenue over time as control of the services and goods transferred to the customer, and the remaining 49% and 48% at a point in time, when the customer obtained control of the promised goods. For the three and six months ended June 30, 2025, the Company recognized 54% of its revenue over time, and the remaining 46% at a point in time.</w:t>
      </w:r>
    </w:p>
    <w:p>
      <w:pPr>
        <w:pStyle w:val="TextBody"/>
        <w:bidi w:val="0"/>
        <w:spacing w:lineRule="auto" w:line="264" w:before="0" w:after="180"/>
        <w:jc w:val="left"/>
        <w:rPr/>
      </w:pPr>
      <w:r>
        <w:rPr>
          <w:rFonts w:ascii="Arial;sans-serif" w:hAnsi="Arial;sans-serif"/>
          <w:b/>
          <w:color w:val="000000"/>
          <w:sz w:val="20"/>
        </w:rPr>
        <w:t xml:space="preserve">Contract Assets. </w:t>
      </w:r>
      <w:r>
        <w:rPr>
          <w:rFonts w:ascii="Arial;sans-serif" w:hAnsi="Arial;sans-serif"/>
          <w:b w:val="false"/>
          <w:color w:val="000000"/>
          <w:sz w:val="20"/>
        </w:rPr>
        <w:t>As of June 30, 2026, the Company recognized a contract asset of $33.2 million related to a contract at a Kaplan International business, of which $5.9 million is included in Other current assets and $27.3 million is included in Deferred Charges and Other Assets. The Company expects to recognize an additional $199.8 million related to the remaining performance obligation in the contract over the next three years. As of December 31, 2025, the contract asset was $36.5 million, of which $4.4 million was included in Other current assets and $32.1 million was included in Deferred Charges and Other Assets. Additional contract assets of $2.8 million and $3.0 million are included in Other current assets on the Company’s Condensed Consolidated Balance Sheets as of June 30, 2026 and December 31, 2025, respectively.</w:t>
      </w:r>
    </w:p>
    <w:p>
      <w:pPr>
        <w:pStyle w:val="TextBody"/>
        <w:bidi w:val="0"/>
        <w:spacing w:lineRule="auto" w:line="264" w:before="0" w:after="180"/>
        <w:jc w:val="left"/>
        <w:rPr/>
      </w:pPr>
      <w:r>
        <w:rPr>
          <w:rFonts w:ascii="Arial;sans-serif" w:hAnsi="Arial;sans-serif"/>
          <w:b/>
          <w:color w:val="000000"/>
          <w:sz w:val="20"/>
        </w:rPr>
        <w:t xml:space="preserve">Deferred Revenue. </w:t>
      </w:r>
      <w:r>
        <w:rPr>
          <w:rFonts w:ascii="Arial;sans-serif" w:hAnsi="Arial;sans-serif"/>
          <w:b w:val="false"/>
          <w:color w:val="000000"/>
          <w:sz w:val="20"/>
        </w:rPr>
        <w:t xml:space="preserve">The Company records deferred revenue when cash payments are received or due in advance of the Company’s performance which includes some payments that are refundable due to the contractual right of the customer to cancel the agreement. As of June 30, 2026 and December 31, 2025, 23% and 22%, respectively, of the Company’s deferred revenue consisted of prepaid amounts which are refundable. The following table presents the change in the Company’s deferred revenue balance: </w:t>
      </w:r>
    </w:p>
    <w:tbl>
      <w:tblPr>
        <w:tblW w:w="4914" w:type="dxa"/>
        <w:jc w:val="left"/>
        <w:tblInd w:w="0" w:type="dxa"/>
        <w:tblLayout w:type="fixed"/>
        <w:tblCellMar>
          <w:top w:w="28" w:type="dxa"/>
          <w:left w:w="28" w:type="dxa"/>
          <w:bottom w:w="28" w:type="dxa"/>
          <w:right w:w="28" w:type="dxa"/>
        </w:tblCellMar>
      </w:tblPr>
      <w:tblGrid>
        <w:gridCol w:w="565"/>
        <w:gridCol w:w="496"/>
        <w:gridCol w:w="498"/>
        <w:gridCol w:w="211"/>
        <w:gridCol w:w="841"/>
        <w:gridCol w:w="109"/>
        <w:gridCol w:w="109"/>
        <w:gridCol w:w="109"/>
        <w:gridCol w:w="109"/>
        <w:gridCol w:w="211"/>
        <w:gridCol w:w="826"/>
        <w:gridCol w:w="109"/>
        <w:gridCol w:w="211"/>
        <w:gridCol w:w="211"/>
        <w:gridCol w:w="299"/>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As of</w:t>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c>
          <w:tcPr>
            <w:tcW w:w="72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155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16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72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Change</w:t>
            </w:r>
          </w:p>
        </w:tc>
      </w:tr>
      <w:tr>
        <w:trPr/>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297,288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418,090 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(29)</w:t>
            </w:r>
          </w:p>
        </w:tc>
      </w:tr>
    </w:tbl>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majority of the change in the deferred revenue balance is related to the cyclical nature of services in the Kaplan International division and the derecognition of deferred revenue associated with the sale of the KLG businesses in May 2026 (see Note 2). During the six months ended June 30, 2026, the Company recognized $319.0 million related to the Company’s deferred revenue balance as of December 31, 2025, including $59.1 million of prepaid amounts which were refundable at the prior year-end.</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 xml:space="preserve">Revenue allocated to remaining performance obligations represents deferred revenue amounts that will be recognized as revenue in future periods. As of June 30, 2026, the deferred revenue balance related to certain medical and nursing qualifications with an original contract length greater than twelve months at Kaplan Supplemental Education was $4.1 million. Kaplan Supplemental Education expects to recognize 68% of this revenue over the next twelve months and the remainder thereafter.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180"/>
        <w:jc w:val="left"/>
        <w:rPr/>
      </w:pPr>
      <w:r>
        <w:rPr>
          <w:rFonts w:ascii="Arial;sans-serif" w:hAnsi="Arial;sans-serif"/>
          <w:b/>
          <w:color w:val="000000"/>
          <w:sz w:val="20"/>
        </w:rPr>
        <w:t xml:space="preserve">Costs to Obtain a Contract. </w:t>
      </w:r>
      <w:r>
        <w:rPr>
          <w:rFonts w:ascii="Arial;sans-serif" w:hAnsi="Arial;sans-serif"/>
          <w:b w:val="false"/>
          <w:color w:val="000000"/>
          <w:sz w:val="20"/>
        </w:rPr>
        <w:t xml:space="preserve">The following table presents changes in the Company’s costs to obtain a contract asset: </w:t>
      </w:r>
    </w:p>
    <w:tbl>
      <w:tblPr>
        <w:tblW w:w="10205" w:type="dxa"/>
        <w:jc w:val="left"/>
        <w:tblInd w:w="0" w:type="dxa"/>
        <w:tblLayout w:type="fixed"/>
        <w:tblCellMar>
          <w:top w:w="28" w:type="dxa"/>
          <w:left w:w="28" w:type="dxa"/>
          <w:bottom w:w="28" w:type="dxa"/>
          <w:right w:w="28" w:type="dxa"/>
        </w:tblCellMar>
      </w:tblPr>
      <w:tblGrid>
        <w:gridCol w:w="383"/>
        <w:gridCol w:w="336"/>
        <w:gridCol w:w="338"/>
        <w:gridCol w:w="211"/>
        <w:gridCol w:w="736"/>
        <w:gridCol w:w="109"/>
        <w:gridCol w:w="109"/>
        <w:gridCol w:w="109"/>
        <w:gridCol w:w="109"/>
        <w:gridCol w:w="451"/>
        <w:gridCol w:w="1575"/>
        <w:gridCol w:w="232"/>
        <w:gridCol w:w="109"/>
        <w:gridCol w:w="109"/>
        <w:gridCol w:w="109"/>
        <w:gridCol w:w="464"/>
        <w:gridCol w:w="1729"/>
        <w:gridCol w:w="239"/>
        <w:gridCol w:w="109"/>
        <w:gridCol w:w="109"/>
        <w:gridCol w:w="109"/>
        <w:gridCol w:w="211"/>
        <w:gridCol w:w="667"/>
        <w:gridCol w:w="109"/>
        <w:gridCol w:w="109"/>
        <w:gridCol w:w="109"/>
        <w:gridCol w:w="109"/>
        <w:gridCol w:w="211"/>
        <w:gridCol w:w="736"/>
        <w:gridCol w:w="160"/>
      </w:tblGrid>
      <w:tr>
        <w:trPr/>
        <w:tc>
          <w:tcPr>
            <w:tcW w:w="38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05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 xml:space="preserve">Balance at </w:t>
              <w:br/>
              <w:t xml:space="preserve">Beginning </w:t>
              <w:br/>
              <w:t>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Costs associated with new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Less: Costs amortized during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 xml:space="preserve">Balance </w:t>
              <w:br/>
              <w:t xml:space="preserve">at </w:t>
              <w:br/>
              <w:t xml:space="preserve">End of </w:t>
              <w:br/>
              <w:t>Period</w:t>
            </w:r>
          </w:p>
        </w:tc>
      </w:tr>
      <w:tr>
        <w:trPr/>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2026</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42,404</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157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29,742</w:t>
            </w:r>
            <w:r>
              <w:rPr>
                <w:color w:val="000000"/>
              </w:rPr>
              <w:t> </w:t>
            </w:r>
          </w:p>
        </w:tc>
        <w:tc>
          <w:tcPr>
            <w:tcW w:w="2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1729"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(48,917)</w:t>
            </w:r>
          </w:p>
        </w:tc>
        <w:tc>
          <w:tcPr>
            <w:tcW w:w="23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66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(1,575)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21,654</w:t>
            </w:r>
            <w:r>
              <w:rPr>
                <w:color w:val="000000"/>
              </w:rPr>
              <w:t> </w:t>
            </w:r>
          </w:p>
        </w:tc>
        <w:tc>
          <w:tcPr>
            <w:tcW w:w="1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05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majority of other activity was related to the derecognition of costs to obtain contract assets associated with the sale of the KLG business in May 2026 (see Note 2) and currency translation adjustments for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pPr>
      <w:r>
        <w:rPr>
          <w:rFonts w:ascii="Arial;sans-serif" w:hAnsi="Arial;sans-serif"/>
          <w:b/>
          <w:color w:val="000000"/>
          <w:sz w:val="20"/>
        </w:rPr>
        <w:t xml:space="preserve">11. </w:t>
      </w:r>
      <w:r>
        <w:rPr>
          <w:rFonts w:ascii="Arial;sans-serif" w:hAnsi="Arial;sans-serif"/>
          <w:b/>
          <w:color w:val="000000"/>
          <w:sz w:val="20"/>
          <w:shd w:fill="FFFFFF" w:val="clear"/>
        </w:rPr>
        <w:t xml:space="preserve">EARNINGS </w:t>
      </w:r>
      <w:r>
        <w:rPr>
          <w:rFonts w:ascii="Arial;sans-serif" w:hAnsi="Arial;sans-serif"/>
          <w:b/>
          <w:color w:val="000000"/>
          <w:sz w:val="20"/>
        </w:rPr>
        <w:t>PER SHARE</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Company’s unvested restricted stock awards contain nonforfeitable rights to dividends and, therefore, are 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the earnings per share under the two-class method excludes the income attributable to the unvested restricted stock awards from the numerator and excludes the dilutive impact of those underlying shares from the denominator.</w:t>
      </w:r>
    </w:p>
    <w:p>
      <w:pPr>
        <w:pStyle w:val="TextBody"/>
        <w:bidi w:val="0"/>
        <w:spacing w:lineRule="auto" w:line="264" w:before="0" w:after="180"/>
        <w:jc w:val="left"/>
        <w:rPr/>
      </w:pPr>
      <w:r>
        <w:rPr>
          <w:rFonts w:ascii="Arial;sans-serif" w:hAnsi="Arial;sans-serif"/>
          <w:b w:val="false"/>
          <w:color w:val="000000"/>
          <w:sz w:val="20"/>
        </w:rPr>
        <w:t>The following reflects the Company’s ne</w:t>
      </w:r>
      <w:r>
        <w:rPr>
          <w:rFonts w:ascii="Arial;sans-serif" w:hAnsi="Arial;sans-serif"/>
          <w:b w:val="false"/>
          <w:color w:val="000000"/>
          <w:sz w:val="20"/>
          <w:shd w:fill="FFFFFF" w:val="clear"/>
        </w:rPr>
        <w:t>t income a</w:t>
      </w:r>
      <w:r>
        <w:rPr>
          <w:rFonts w:ascii="Arial;sans-serif" w:hAnsi="Arial;sans-serif"/>
          <w:b w:val="false"/>
          <w:color w:val="000000"/>
          <w:sz w:val="20"/>
        </w:rPr>
        <w:t xml:space="preserve">nd share data used in the basic and </w:t>
      </w:r>
      <w:r>
        <w:rPr>
          <w:rFonts w:ascii="Arial;sans-serif" w:hAnsi="Arial;sans-serif"/>
          <w:b w:val="false"/>
          <w:color w:val="000000"/>
          <w:sz w:val="20"/>
          <w:shd w:fill="FFFFFF" w:val="clear"/>
        </w:rPr>
        <w:t xml:space="preserve">diluted earnings </w:t>
      </w:r>
      <w:r>
        <w:rPr>
          <w:rFonts w:ascii="Arial;sans-serif" w:hAnsi="Arial;sans-serif"/>
          <w:b w:val="false"/>
          <w:color w:val="000000"/>
          <w:sz w:val="20"/>
        </w:rPr>
        <w:t>per share computations using the two-class method:</w:t>
      </w:r>
    </w:p>
    <w:tbl>
      <w:tblPr>
        <w:tblW w:w="10205" w:type="dxa"/>
        <w:jc w:val="left"/>
        <w:tblInd w:w="0" w:type="dxa"/>
        <w:tblLayout w:type="fixed"/>
        <w:tblCellMar>
          <w:top w:w="28" w:type="dxa"/>
          <w:left w:w="28" w:type="dxa"/>
          <w:bottom w:w="28" w:type="dxa"/>
          <w:right w:w="28" w:type="dxa"/>
        </w:tblCellMar>
      </w:tblPr>
      <w:tblGrid>
        <w:gridCol w:w="1591"/>
        <w:gridCol w:w="1263"/>
        <w:gridCol w:w="1271"/>
        <w:gridCol w:w="211"/>
        <w:gridCol w:w="841"/>
        <w:gridCol w:w="271"/>
        <w:gridCol w:w="109"/>
        <w:gridCol w:w="109"/>
        <w:gridCol w:w="109"/>
        <w:gridCol w:w="211"/>
        <w:gridCol w:w="721"/>
        <w:gridCol w:w="271"/>
        <w:gridCol w:w="109"/>
        <w:gridCol w:w="109"/>
        <w:gridCol w:w="109"/>
        <w:gridCol w:w="211"/>
        <w:gridCol w:w="841"/>
        <w:gridCol w:w="271"/>
        <w:gridCol w:w="109"/>
        <w:gridCol w:w="109"/>
        <w:gridCol w:w="109"/>
        <w:gridCol w:w="211"/>
        <w:gridCol w:w="721"/>
        <w:gridCol w:w="318"/>
      </w:tblGrid>
      <w:tr>
        <w:trPr/>
        <w:tc>
          <w:tcPr>
            <w:tcW w:w="159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Six Months Ended </w:t>
              <w:br/>
              <w:t> June 30</w:t>
            </w:r>
          </w:p>
        </w:tc>
      </w:tr>
      <w:tr>
        <w:trPr/>
        <w:tc>
          <w:tcPr>
            <w:tcW w:w="412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 except per share amounts)</w:t>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4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Numerator:</w:t>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color w:val="000000"/>
                <w:sz w:val="18"/>
              </w:rPr>
              <w:t>Numerator for basi</w:t>
            </w:r>
            <w:r>
              <w:rPr>
                <w:rFonts w:ascii="Arial;sans-serif" w:hAnsi="Arial;sans-serif"/>
                <w:b/>
                <w:color w:val="000000"/>
                <w:sz w:val="18"/>
                <w:shd w:fill="FFFFFF" w:val="clear"/>
              </w:rPr>
              <w:t>c earnings pe</w:t>
            </w:r>
            <w:r>
              <w:rPr>
                <w:rFonts w:ascii="Arial;sans-serif" w:hAnsi="Arial;sans-serif"/>
                <w:b/>
                <w:color w:val="000000"/>
                <w:sz w:val="18"/>
              </w:rPr>
              <w:t>r share:</w:t>
            </w:r>
          </w:p>
        </w:tc>
        <w:tc>
          <w:tcPr>
            <w:tcW w:w="1323"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4125" w:type="dxa"/>
            <w:gridSpan w:val="3"/>
            <w:tcBorders/>
            <w:tcMar>
              <w:top w:w="0" w:type="dxa"/>
              <w:left w:w="0" w:type="dxa"/>
              <w:bottom w:w="0" w:type="dxa"/>
              <w:right w:w="0" w:type="dxa"/>
            </w:tcMar>
            <w:vAlign w:val="center"/>
          </w:tcPr>
          <w:p>
            <w:pPr>
              <w:pStyle w:val="TableContents"/>
              <w:bidi w:val="0"/>
              <w:spacing w:lineRule="auto" w:line="264" w:before="0" w:after="0"/>
              <w:ind w:left="0" w:right="0" w:hanging="180"/>
              <w:jc w:val="left"/>
              <w:rPr/>
            </w:pPr>
            <w:r>
              <w:rPr>
                <w:rFonts w:ascii="Arial;sans-serif" w:hAnsi="Arial;sans-serif"/>
                <w:b w:val="false"/>
                <w:color w:val="000000"/>
                <w:sz w:val="18"/>
              </w:rPr>
              <w:t>N</w:t>
            </w:r>
            <w:r>
              <w:rPr>
                <w:rFonts w:ascii="Arial;sans-serif" w:hAnsi="Arial;sans-serif"/>
                <w:b w:val="false"/>
                <w:color w:val="000000"/>
                <w:sz w:val="18"/>
                <w:shd w:fill="FFFFFF" w:val="clear"/>
              </w:rPr>
              <w:t>et income attribu</w:t>
            </w:r>
            <w:r>
              <w:rPr>
                <w:rFonts w:ascii="Arial;sans-serif" w:hAnsi="Arial;sans-serif"/>
                <w:b w:val="false"/>
                <w:color w:val="000000"/>
                <w:sz w:val="18"/>
              </w:rPr>
              <w:t>table to Graham Holdings Company common stockholders</w:t>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281,103</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36,749 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310,209</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60,643 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64" w:before="0" w:after="0"/>
              <w:ind w:left="0" w:right="0" w:hanging="180"/>
              <w:jc w:val="left"/>
              <w:rPr>
                <w:rFonts w:ascii="Arial;sans-serif" w:hAnsi="Arial;sans-serif"/>
                <w:b w:val="false"/>
                <w:color w:val="000000"/>
                <w:sz w:val="18"/>
              </w:rPr>
            </w:pPr>
            <w:r>
              <w:rPr>
                <w:rFonts w:ascii="Arial;sans-serif" w:hAnsi="Arial;sans-serif"/>
                <w:b w:val="false"/>
                <w:color w:val="000000"/>
                <w:sz w:val="18"/>
              </w:rPr>
              <w:t>Less: Dividends paid-common stock outstanding and unvested restricted shares</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(7,953)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(7,846)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(24,351)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(23,508)</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8"/>
              </w:rPr>
              <w:t>Undistribu</w:t>
            </w:r>
            <w:r>
              <w:rPr>
                <w:rFonts w:ascii="Arial;sans-serif" w:hAnsi="Arial;sans-serif"/>
                <w:b w:val="false"/>
                <w:color w:val="000000"/>
                <w:sz w:val="18"/>
                <w:shd w:fill="FFFFFF" w:val="clear"/>
              </w:rPr>
              <w:t>ted earnings</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273,150</w:t>
            </w:r>
            <w:r>
              <w:rPr>
                <w:color w:val="000000"/>
              </w:rPr>
              <w:t>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28,903 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285,858</w:t>
            </w:r>
            <w:r>
              <w:rPr>
                <w:color w:val="000000"/>
              </w:rPr>
              <w:t>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37,135 </w:t>
            </w:r>
          </w:p>
        </w:tc>
        <w:tc>
          <w:tcPr>
            <w:tcW w:w="3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 allocated to common stockholders</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99.43</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99.39 </w:t>
            </w:r>
          </w:p>
        </w:tc>
        <w:tc>
          <w:tcPr>
            <w:tcW w:w="271"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99.43</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99.39 </w:t>
            </w:r>
          </w:p>
        </w:tc>
        <w:tc>
          <w:tcPr>
            <w:tcW w:w="318"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271,589</w:t>
            </w:r>
            <w:r>
              <w:rPr>
                <w:color w:val="000000"/>
              </w:rPr>
              <w:t>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28,726 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284,225</w:t>
            </w:r>
            <w:r>
              <w:rPr>
                <w:color w:val="000000"/>
              </w:rPr>
              <w:t>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36,908 </w:t>
            </w:r>
          </w:p>
        </w:tc>
        <w:tc>
          <w:tcPr>
            <w:tcW w:w="3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Add: Dividends paid-common stock outstanding</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7,908</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7,798 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24,214</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23,364 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color w:val="000000"/>
                <w:sz w:val="18"/>
              </w:rPr>
              <w:t>Numerator for b</w:t>
            </w:r>
            <w:r>
              <w:rPr>
                <w:rFonts w:ascii="Arial;sans-serif" w:hAnsi="Arial;sans-serif"/>
                <w:b/>
                <w:color w:val="000000"/>
                <w:sz w:val="18"/>
                <w:shd w:fill="FFFFFF" w:val="clear"/>
              </w:rPr>
              <w:t>asic earnings per sha</w:t>
            </w:r>
            <w:r>
              <w:rPr>
                <w:rFonts w:ascii="Arial;sans-serif" w:hAnsi="Arial;sans-serif"/>
                <w:b/>
                <w:color w:val="000000"/>
                <w:sz w:val="18"/>
              </w:rPr>
              <w:t>re</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279,497</w:t>
            </w:r>
            <w:r>
              <w:rPr>
                <w:color w:val="000000"/>
              </w:rPr>
              <w:t>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36,524 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308,439</w:t>
            </w:r>
            <w:r>
              <w:rPr>
                <w:color w:val="000000"/>
              </w:rPr>
              <w:t>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60,272 </w:t>
            </w:r>
          </w:p>
        </w:tc>
        <w:tc>
          <w:tcPr>
            <w:tcW w:w="3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Add: Additional undistributed earnings due to dilutive stock options</w:t>
            </w:r>
          </w:p>
        </w:tc>
        <w:tc>
          <w:tcPr>
            <w:tcW w:w="105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16</w:t>
            </w:r>
            <w:r>
              <w:rPr>
                <w:color w:val="000000"/>
              </w:rPr>
              <w:t>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16</w:t>
            </w:r>
            <w:r>
              <w:rPr>
                <w:color w:val="000000"/>
              </w:rPr>
              <w:t>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18"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color w:val="000000"/>
                <w:sz w:val="18"/>
              </w:rPr>
              <w:t>Numerator for dilu</w:t>
            </w:r>
            <w:r>
              <w:rPr>
                <w:rFonts w:ascii="Arial;sans-serif" w:hAnsi="Arial;sans-serif"/>
                <w:b/>
                <w:color w:val="000000"/>
                <w:sz w:val="18"/>
                <w:shd w:fill="FFFFFF" w:val="clear"/>
              </w:rPr>
              <w:t>ted earnings per shar</w:t>
            </w:r>
            <w:r>
              <w:rPr>
                <w:rFonts w:ascii="Arial;sans-serif" w:hAnsi="Arial;sans-serif"/>
                <w:b/>
                <w:color w:val="000000"/>
                <w:sz w:val="18"/>
              </w:rPr>
              <w:t>e</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279,513</w:t>
            </w:r>
            <w:r>
              <w:rPr>
                <w:color w:val="000000"/>
              </w:rPr>
              <w:t>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36,526 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308,455</w:t>
            </w:r>
            <w:r>
              <w:rPr>
                <w:color w:val="000000"/>
              </w:rPr>
              <w:t>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60,274 </w:t>
            </w:r>
          </w:p>
        </w:tc>
        <w:tc>
          <w:tcPr>
            <w:tcW w:w="3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Denominator:</w:t>
            </w:r>
          </w:p>
        </w:tc>
        <w:tc>
          <w:tcPr>
            <w:tcW w:w="1323"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color w:val="000000"/>
                <w:sz w:val="18"/>
              </w:rPr>
              <w:t>Denominator for b</w:t>
            </w:r>
            <w:r>
              <w:rPr>
                <w:rFonts w:ascii="Arial;sans-serif" w:hAnsi="Arial;sans-serif"/>
                <w:b/>
                <w:color w:val="000000"/>
                <w:sz w:val="18"/>
                <w:shd w:fill="FFFFFF" w:val="clear"/>
              </w:rPr>
              <w:t>asic earnings per</w:t>
            </w:r>
            <w:r>
              <w:rPr>
                <w:color w:val="000000"/>
              </w:rPr>
              <w:t xml:space="preserve"> </w:t>
            </w:r>
            <w:r>
              <w:rPr>
                <w:rFonts w:ascii="Arial;sans-serif" w:hAnsi="Arial;sans-serif"/>
                <w:b/>
                <w:color w:val="000000"/>
                <w:sz w:val="18"/>
              </w:rPr>
              <w:t>share:</w:t>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4,265</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4,333 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4,298</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4,327 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Add: Effect of dilutive stock options</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44</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44</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color w:val="000000"/>
                <w:sz w:val="18"/>
              </w:rPr>
              <w:t>Denominator for dilu</w:t>
            </w:r>
            <w:r>
              <w:rPr>
                <w:rFonts w:ascii="Arial;sans-serif" w:hAnsi="Arial;sans-serif"/>
                <w:b/>
                <w:color w:val="000000"/>
                <w:sz w:val="18"/>
                <w:shd w:fill="FFFFFF" w:val="clear"/>
              </w:rPr>
              <w:t>ted earnings per s</w:t>
            </w:r>
            <w:r>
              <w:rPr>
                <w:rFonts w:ascii="Arial;sans-serif" w:hAnsi="Arial;sans-serif"/>
                <w:b/>
                <w:color w:val="000000"/>
                <w:sz w:val="18"/>
              </w:rPr>
              <w:t>hare</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4,309</w:t>
            </w:r>
            <w:r>
              <w:rPr>
                <w:color w:val="000000"/>
              </w:rPr>
              <w:t>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4,373 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4,342</w:t>
            </w:r>
            <w:r>
              <w:rPr>
                <w:color w:val="000000"/>
              </w:rPr>
              <w:t>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4,366 </w:t>
            </w:r>
          </w:p>
        </w:tc>
        <w:tc>
          <w:tcPr>
            <w:tcW w:w="3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Graham Holdings Company Common Stockholders:</w:t>
            </w:r>
          </w:p>
        </w:tc>
        <w:tc>
          <w:tcPr>
            <w:tcW w:w="1323"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412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color w:val="000000"/>
                <w:sz w:val="18"/>
              </w:rPr>
              <w:t>B</w:t>
            </w:r>
            <w:r>
              <w:rPr>
                <w:rFonts w:ascii="Arial;sans-serif" w:hAnsi="Arial;sans-serif"/>
                <w:b/>
                <w:color w:val="000000"/>
                <w:sz w:val="18"/>
                <w:shd w:fill="FFFFFF" w:val="clear"/>
              </w:rPr>
              <w:t>asic earnings p</w:t>
            </w:r>
            <w:r>
              <w:rPr>
                <w:rFonts w:ascii="Arial;sans-serif" w:hAnsi="Arial;sans-serif"/>
                <w:b/>
                <w:color w:val="000000"/>
                <w:sz w:val="18"/>
              </w:rPr>
              <w:t>er share</w:t>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65.53</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71.76</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13.93 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color w:val="000000"/>
                <w:sz w:val="18"/>
              </w:rPr>
              <w:t>Dilu</w:t>
            </w:r>
            <w:r>
              <w:rPr>
                <w:rFonts w:ascii="Arial;sans-serif" w:hAnsi="Arial;sans-serif"/>
                <w:b/>
                <w:color w:val="000000"/>
                <w:sz w:val="18"/>
                <w:shd w:fill="FFFFFF" w:val="clear"/>
              </w:rPr>
              <w:t>ted earnings per share</w:t>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64.86</w:t>
            </w:r>
            <w:r>
              <w:rPr>
                <w:color w:val="000000"/>
              </w:rPr>
              <w:t> </w:t>
            </w:r>
          </w:p>
        </w:tc>
        <w:tc>
          <w:tcPr>
            <w:tcW w:w="27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8.35 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71.04</w:t>
            </w:r>
            <w:r>
              <w:rPr>
                <w:color w:val="000000"/>
              </w:rPr>
              <w:t> </w:t>
            </w:r>
          </w:p>
        </w:tc>
        <w:tc>
          <w:tcPr>
            <w:tcW w:w="27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13.81 </w:t>
            </w:r>
          </w:p>
        </w:tc>
        <w:tc>
          <w:tcPr>
            <w:tcW w:w="318"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left"/>
        <w:rPr>
          <w:rFonts w:ascii="Arial;sans-serif" w:hAnsi="Arial;sans-serif"/>
          <w:b w:val="false"/>
          <w:color w:val="000000"/>
          <w:sz w:val="12"/>
        </w:rPr>
      </w:pPr>
      <w:r>
        <w:rPr>
          <w:rFonts w:ascii="Arial;sans-serif" w:hAnsi="Arial;sans-serif"/>
          <w:b w:val="false"/>
          <w:color w:val="000000"/>
          <w:sz w:val="12"/>
        </w:rPr>
        <w:t>____________</w:t>
      </w:r>
    </w:p>
    <w:p>
      <w:pPr>
        <w:pStyle w:val="TextBody"/>
        <w:bidi w:val="0"/>
        <w:spacing w:lineRule="auto" w:line="240" w:before="20" w:after="180"/>
        <w:ind w:left="0" w:right="0" w:hanging="270"/>
        <w:jc w:val="left"/>
        <w:rPr/>
      </w:pPr>
      <w:r>
        <w:rPr>
          <w:rFonts w:ascii="Arial;sans-serif" w:hAnsi="Arial;sans-serif"/>
          <w:b w:val="false"/>
          <w:color w:val="000000"/>
          <w:sz w:val="14"/>
          <w:shd w:fill="FFFFFF" w:val="clear"/>
        </w:rPr>
        <w:t>Earnings pe</w:t>
      </w:r>
      <w:r>
        <w:rPr>
          <w:rFonts w:ascii="Arial;sans-serif" w:hAnsi="Arial;sans-serif"/>
          <w:b w:val="false"/>
          <w:color w:val="000000"/>
          <w:sz w:val="14"/>
        </w:rPr>
        <w:t>r share amounts may not recalculate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180"/>
        <w:jc w:val="left"/>
        <w:rPr/>
      </w:pPr>
      <w:r>
        <w:rPr>
          <w:rFonts w:ascii="Arial;sans-serif" w:hAnsi="Arial;sans-serif"/>
          <w:b w:val="false"/>
          <w:color w:val="000000"/>
          <w:sz w:val="20"/>
        </w:rPr>
        <w:t>Di</w:t>
      </w:r>
      <w:r>
        <w:rPr>
          <w:rFonts w:ascii="Arial;sans-serif" w:hAnsi="Arial;sans-serif"/>
          <w:b w:val="false"/>
          <w:color w:val="000000"/>
          <w:sz w:val="20"/>
          <w:shd w:fill="FFFFFF" w:val="clear"/>
        </w:rPr>
        <w:t>luted earnings per s</w:t>
      </w:r>
      <w:r>
        <w:rPr>
          <w:rFonts w:ascii="Arial;sans-serif" w:hAnsi="Arial;sans-serif"/>
          <w:b w:val="false"/>
          <w:color w:val="000000"/>
          <w:sz w:val="20"/>
        </w:rPr>
        <w:t>hare excludes the following weighted average potential common shares, as the effect would be antidilutive, as computed under the treasury stock method:</w:t>
      </w:r>
    </w:p>
    <w:tbl>
      <w:tblPr>
        <w:tblW w:w="6681" w:type="dxa"/>
        <w:jc w:val="left"/>
        <w:tblInd w:w="0" w:type="dxa"/>
        <w:tblLayout w:type="fixed"/>
        <w:tblCellMar>
          <w:top w:w="28" w:type="dxa"/>
          <w:left w:w="28" w:type="dxa"/>
          <w:bottom w:w="28" w:type="dxa"/>
          <w:right w:w="28" w:type="dxa"/>
        </w:tblCellMar>
      </w:tblPr>
      <w:tblGrid>
        <w:gridCol w:w="1044"/>
        <w:gridCol w:w="916"/>
        <w:gridCol w:w="920"/>
        <w:gridCol w:w="200"/>
        <w:gridCol w:w="200"/>
        <w:gridCol w:w="200"/>
        <w:gridCol w:w="200"/>
        <w:gridCol w:w="200"/>
        <w:gridCol w:w="200"/>
        <w:gridCol w:w="200"/>
        <w:gridCol w:w="200"/>
        <w:gridCol w:w="200"/>
        <w:gridCol w:w="109"/>
        <w:gridCol w:w="109"/>
        <w:gridCol w:w="109"/>
        <w:gridCol w:w="188"/>
        <w:gridCol w:w="188"/>
        <w:gridCol w:w="173"/>
        <w:gridCol w:w="173"/>
        <w:gridCol w:w="173"/>
        <w:gridCol w:w="173"/>
        <w:gridCol w:w="180"/>
        <w:gridCol w:w="181"/>
        <w:gridCol w:w="245"/>
      </w:tblGrid>
      <w:tr>
        <w:trPr/>
        <w:tc>
          <w:tcPr>
            <w:tcW w:w="10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Six Months Ended </w:t>
              <w:br/>
              <w:t> June 30</w:t>
            </w:r>
          </w:p>
        </w:tc>
      </w:tr>
      <w:tr>
        <w:trPr/>
        <w:tc>
          <w:tcPr>
            <w:tcW w:w="288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2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Weighted average restricted stock</w:t>
            </w:r>
          </w:p>
        </w:tc>
        <w:tc>
          <w:tcPr>
            <w:tcW w:w="40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18</w:t>
            </w:r>
            <w:r>
              <w:rPr>
                <w:color w:val="000000"/>
              </w:rPr>
              <w:t> </w:t>
            </w:r>
          </w:p>
        </w:tc>
        <w:tc>
          <w:tcPr>
            <w:tcW w:w="20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0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18</w:t>
            </w:r>
            <w:r>
              <w:rPr>
                <w:color w:val="000000"/>
              </w:rPr>
              <w:t> </w:t>
            </w:r>
          </w:p>
        </w:tc>
        <w:tc>
          <w:tcPr>
            <w:tcW w:w="17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left"/>
        <w:rPr/>
      </w:pPr>
      <w:r>
        <w:rPr>
          <w:rFonts w:ascii="Arial;sans-serif" w:hAnsi="Arial;sans-serif"/>
          <w:b w:val="false"/>
          <w:color w:val="000000"/>
          <w:sz w:val="20"/>
        </w:rPr>
        <w:t xml:space="preserve">The diluted earnings per share amounts for each of the three and six months ended June 30, 2026 and </w:t>
      </w:r>
      <w:r>
        <w:rPr>
          <w:rFonts w:ascii="Arial;sans-serif" w:hAnsi="Arial;sans-serif"/>
          <w:b w:val="false"/>
          <w:color w:val="000000"/>
          <w:sz w:val="20"/>
          <w:shd w:fill="FFFFFF" w:val="clear"/>
        </w:rPr>
        <w:t>2025</w:t>
      </w:r>
      <w:r>
        <w:rPr>
          <w:color w:val="000000"/>
        </w:rPr>
        <w:t xml:space="preserve"> </w:t>
      </w:r>
      <w:r>
        <w:rPr>
          <w:rFonts w:ascii="Arial;sans-serif" w:hAnsi="Arial;sans-serif"/>
          <w:b w:val="false"/>
          <w:color w:val="000000"/>
          <w:sz w:val="20"/>
        </w:rPr>
        <w:t>excludes the effect of 1,000 contingently issuable shares outstanding as their inclusion would have been antidilutive due to a market condition.</w:t>
      </w:r>
    </w:p>
    <w:p>
      <w:pPr>
        <w:pStyle w:val="TextBody"/>
        <w:bidi w:val="0"/>
        <w:spacing w:lineRule="auto" w:line="264" w:before="0" w:after="180"/>
        <w:jc w:val="left"/>
        <w:rPr/>
      </w:pPr>
      <w:r>
        <w:rPr>
          <w:rFonts w:ascii="Arial;sans-serif" w:hAnsi="Arial;sans-serif"/>
          <w:b w:val="false"/>
          <w:color w:val="000000"/>
          <w:sz w:val="20"/>
        </w:rPr>
        <w:t xml:space="preserve">In the three and six months ended June 30, 2026, the Company declared regular dividends totaling $1.88 and </w:t>
      </w:r>
      <w:r>
        <w:rPr>
          <w:rFonts w:ascii="Arial;sans-serif" w:hAnsi="Arial;sans-serif"/>
          <w:b w:val="false"/>
          <w:color w:val="000000"/>
          <w:sz w:val="20"/>
          <w:shd w:fill="FFFFFF" w:val="clear"/>
        </w:rPr>
        <w:t xml:space="preserve">$5.64 </w:t>
      </w:r>
      <w:r>
        <w:rPr>
          <w:rFonts w:ascii="Arial;sans-serif" w:hAnsi="Arial;sans-serif"/>
          <w:b w:val="false"/>
          <w:color w:val="000000"/>
          <w:sz w:val="20"/>
        </w:rPr>
        <w:t>per common share, respectively. In the three and six months ended June 30, 2025, the Company declared regular dividends totaling $1.80 and $5.40 per common share,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rPr>
      </w:pPr>
      <w:r>
        <w:rPr>
          <w:rFonts w:ascii="Arial;sans-serif" w:hAnsi="Arial;sans-serif"/>
          <w:b/>
          <w:color w:val="000000"/>
          <w:sz w:val="20"/>
        </w:rPr>
        <w:t>12. PENSION PLANS</w:t>
      </w:r>
    </w:p>
    <w:p>
      <w:pPr>
        <w:pStyle w:val="TextBody"/>
        <w:bidi w:val="0"/>
        <w:spacing w:lineRule="auto" w:line="264" w:before="0" w:after="180"/>
        <w:jc w:val="left"/>
        <w:rPr/>
      </w:pPr>
      <w:r>
        <w:rPr>
          <w:rFonts w:ascii="Arial;sans-serif" w:hAnsi="Arial;sans-serif"/>
          <w:b/>
          <w:color w:val="000000"/>
          <w:sz w:val="20"/>
        </w:rPr>
        <w:t xml:space="preserve">Defined Benefit Plans. </w:t>
      </w:r>
      <w:r>
        <w:rPr>
          <w:rFonts w:ascii="Arial;sans-serif" w:hAnsi="Arial;sans-serif"/>
          <w:b w:val="false"/>
          <w:color w:val="000000"/>
          <w:sz w:val="20"/>
        </w:rPr>
        <w:t>The total benefit arising from the Company’s defined benefit pension plans consists of the following components:</w:t>
      </w:r>
    </w:p>
    <w:tbl>
      <w:tblPr>
        <w:tblW w:w="9585" w:type="dxa"/>
        <w:jc w:val="left"/>
        <w:tblInd w:w="0" w:type="dxa"/>
        <w:tblLayout w:type="fixed"/>
        <w:tblCellMar>
          <w:top w:w="28" w:type="dxa"/>
          <w:left w:w="28" w:type="dxa"/>
          <w:bottom w:w="28" w:type="dxa"/>
          <w:right w:w="28" w:type="dxa"/>
        </w:tblCellMar>
      </w:tblPr>
      <w:tblGrid>
        <w:gridCol w:w="1409"/>
        <w:gridCol w:w="1235"/>
        <w:gridCol w:w="1241"/>
        <w:gridCol w:w="211"/>
        <w:gridCol w:w="901"/>
        <w:gridCol w:w="109"/>
        <w:gridCol w:w="109"/>
        <w:gridCol w:w="109"/>
        <w:gridCol w:w="109"/>
        <w:gridCol w:w="211"/>
        <w:gridCol w:w="796"/>
        <w:gridCol w:w="109"/>
        <w:gridCol w:w="109"/>
        <w:gridCol w:w="109"/>
        <w:gridCol w:w="109"/>
        <w:gridCol w:w="211"/>
        <w:gridCol w:w="901"/>
        <w:gridCol w:w="109"/>
        <w:gridCol w:w="109"/>
        <w:gridCol w:w="109"/>
        <w:gridCol w:w="109"/>
        <w:gridCol w:w="211"/>
        <w:gridCol w:w="796"/>
        <w:gridCol w:w="154"/>
      </w:tblGrid>
      <w:tr>
        <w:trPr/>
        <w:tc>
          <w:tcPr>
            <w:tcW w:w="14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Six Months Ended </w:t>
              <w:br/>
              <w:t> June 30</w:t>
            </w:r>
          </w:p>
        </w:tc>
      </w:tr>
      <w:tr>
        <w:trPr/>
        <w:tc>
          <w:tcPr>
            <w:tcW w:w="388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Service cost</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0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11,922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11,699 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0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23,502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23,891 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Interest cost</w:t>
            </w:r>
          </w:p>
        </w:tc>
        <w:tc>
          <w:tcPr>
            <w:tcW w:w="111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7,597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6,956 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16,292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13,377 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Expected return on assets</w:t>
            </w:r>
          </w:p>
        </w:tc>
        <w:tc>
          <w:tcPr>
            <w:tcW w:w="11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(44,538)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(41,881)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(88,818)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(83,852)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Amortization of prior service credit</w:t>
            </w:r>
          </w:p>
        </w:tc>
        <w:tc>
          <w:tcPr>
            <w:tcW w:w="11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(497)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(993)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(1,040)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Net Periodic Benefit</w:t>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(25,516)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(23,747)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(50,017)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(47,624)</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Settlement</w:t>
            </w:r>
          </w:p>
        </w:tc>
        <w:tc>
          <w:tcPr>
            <w:tcW w:w="11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(136,955)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(136,955)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Early retirement and separation program costs</w:t>
            </w:r>
          </w:p>
        </w:tc>
        <w:tc>
          <w:tcPr>
            <w:tcW w:w="111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3,837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6,015 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7,937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6,639 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Total Benefit</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0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(158,634)</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(17,732)</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0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(179,035)</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(40,985)</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In June 2026, the Company purchased an irrevocable group annuity contract from an insurance company for $113.9 million to settle $124.3 million of the outstanding defined benefit pension obligation related to certain retirees and beneficiaries. The purchase of the group annuity contract was funded from the assets of the Company’s pension plan. As a result of this transaction, the Company was relieved of all responsibility for these pension obligations and the insurance company is now required to pay and administer the retirement benefits owed to approximately 1,080 retirees and beneficiaries, with no change to the amount, timing or form of monthly retirement benefit payments. As a result, the Company remeasured the accumulated and projected benefit obligation as of June 17, 2026 and recorded a one-time pre-tax settlement gain of $137.0 million. The new measurement basis was used for the recognition of the Company’s pension benefit following the remeasurement. The settlement gain is included in non-operating pension and postretirement benefit income on the Condensed Consolidated Statements of Operations.</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In the second quarter of 2026, the Company recorded $2.0 million in expenses related to a Voluntary Retirement Incentive Program (VRIP) for certain Dekko employees. Also in the second quarter of 2026, the Company recorded $1.9 million in expenses related to Separation Incentive Programs (SIPs) for certain Kaplan, Graham Media Group (GMG), Code3 and Slate employees. In the first quarter of 2026, the Company recorded $4.1 million in expenses related to SIPs for certain Kaplan, GMG, Joyce, Dekko, Framebridge, Code3, Slate and Corporate employees. The VRIP and SIPs were funded from the assets of the Company’s pension plans.</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In the second quarter of 2025, the Company recorded $6.0 million in expenses related to SIPs for certain Kaplan, GMG, WGB, Saatchi Art, Society6, Code3 and Decile employees. In the first quarter of 2025, the Company recorded $0.6 million in expenses related to a SIP for certain WGB employees. These SIPs were funded from the assets of the Company’s pension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total cost arising from the Company’s Supplemental Executive Retirement Plan (SERP) consists of the following components:</w:t>
      </w:r>
    </w:p>
    <w:tbl>
      <w:tblPr>
        <w:tblW w:w="6420" w:type="dxa"/>
        <w:jc w:val="left"/>
        <w:tblInd w:w="0" w:type="dxa"/>
        <w:tblLayout w:type="fixed"/>
        <w:tblCellMar>
          <w:top w:w="28" w:type="dxa"/>
          <w:left w:w="28" w:type="dxa"/>
          <w:bottom w:w="28" w:type="dxa"/>
          <w:right w:w="28" w:type="dxa"/>
        </w:tblCellMar>
      </w:tblPr>
      <w:tblGrid>
        <w:gridCol w:w="587"/>
        <w:gridCol w:w="515"/>
        <w:gridCol w:w="518"/>
        <w:gridCol w:w="211"/>
        <w:gridCol w:w="631"/>
        <w:gridCol w:w="109"/>
        <w:gridCol w:w="109"/>
        <w:gridCol w:w="109"/>
        <w:gridCol w:w="109"/>
        <w:gridCol w:w="211"/>
        <w:gridCol w:w="616"/>
        <w:gridCol w:w="109"/>
        <w:gridCol w:w="109"/>
        <w:gridCol w:w="109"/>
        <w:gridCol w:w="109"/>
        <w:gridCol w:w="211"/>
        <w:gridCol w:w="631"/>
        <w:gridCol w:w="109"/>
        <w:gridCol w:w="109"/>
        <w:gridCol w:w="109"/>
        <w:gridCol w:w="109"/>
        <w:gridCol w:w="211"/>
        <w:gridCol w:w="616"/>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221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Six Months Ended </w:t>
              <w:br/>
              <w:t> June 30</w:t>
            </w:r>
          </w:p>
        </w:tc>
      </w:tr>
      <w:tr>
        <w:trPr/>
        <w:tc>
          <w:tcPr>
            <w:tcW w:w="162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16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Service cost</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290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579</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477 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Interest cost</w:t>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1,155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2,310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2,394 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Net Periodic Cost</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1,445</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1,435 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2,889</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2,871 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left"/>
        <w:rPr/>
      </w:pPr>
      <w:r>
        <w:rPr>
          <w:rFonts w:ascii="Arial;sans-serif" w:hAnsi="Arial;sans-serif"/>
          <w:b/>
          <w:color w:val="000000"/>
          <w:sz w:val="20"/>
        </w:rPr>
        <w:t xml:space="preserve">Defined Benefit Plan Assets. </w:t>
      </w:r>
      <w:r>
        <w:rPr>
          <w:rFonts w:ascii="Arial;sans-serif" w:hAnsi="Arial;sans-serif"/>
          <w:b w:val="false"/>
          <w:color w:val="000000"/>
          <w:sz w:val="20"/>
        </w:rPr>
        <w:t>The Company’s defined benefit pension obligations are funded by a portfolio made up of private investment funds and a relatively small number of stocks and high-quality fixed-income securities that are held by a third-party trustee. The assets of the Company’s pension plans were allocated as follows:</w:t>
      </w:r>
    </w:p>
    <w:tbl>
      <w:tblPr>
        <w:tblW w:w="4533" w:type="dxa"/>
        <w:jc w:val="left"/>
        <w:tblInd w:w="0" w:type="dxa"/>
        <w:tblLayout w:type="fixed"/>
        <w:tblCellMar>
          <w:top w:w="28" w:type="dxa"/>
          <w:left w:w="28" w:type="dxa"/>
          <w:bottom w:w="28" w:type="dxa"/>
          <w:right w:w="28" w:type="dxa"/>
        </w:tblCellMar>
      </w:tblPr>
      <w:tblGrid>
        <w:gridCol w:w="765"/>
        <w:gridCol w:w="674"/>
        <w:gridCol w:w="676"/>
        <w:gridCol w:w="240"/>
        <w:gridCol w:w="241"/>
        <w:gridCol w:w="426"/>
        <w:gridCol w:w="109"/>
        <w:gridCol w:w="109"/>
        <w:gridCol w:w="109"/>
        <w:gridCol w:w="240"/>
        <w:gridCol w:w="240"/>
        <w:gridCol w:w="704"/>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2418"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As of</w:t>
            </w:r>
          </w:p>
        </w:tc>
      </w:tr>
      <w:tr>
        <w:trPr/>
        <w:tc>
          <w:tcPr>
            <w:tcW w:w="2115"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90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r>
      <w:tr>
        <w:trPr/>
        <w:tc>
          <w:tcPr>
            <w:tcW w:w="2115"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90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2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U.S. equities</w:t>
            </w:r>
          </w:p>
        </w:tc>
        <w:tc>
          <w:tcPr>
            <w:tcW w:w="4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64</w:t>
            </w:r>
            <w:r>
              <w:rPr>
                <w:color w:val="000000"/>
              </w:rPr>
              <w:t> </w:t>
            </w:r>
          </w:p>
        </w:tc>
        <w:tc>
          <w:tcPr>
            <w:tcW w:w="4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704"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11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Private investment funds</w:t>
            </w:r>
          </w:p>
        </w:tc>
        <w:tc>
          <w:tcPr>
            <w:tcW w:w="48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17</w:t>
            </w:r>
            <w:r>
              <w:rPr>
                <w:color w:val="000000"/>
              </w:rPr>
              <w:t> </w:t>
            </w:r>
          </w:p>
        </w:tc>
        <w:tc>
          <w:tcPr>
            <w:tcW w:w="4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704"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11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International equities</w:t>
            </w:r>
          </w:p>
        </w:tc>
        <w:tc>
          <w:tcPr>
            <w:tcW w:w="48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16</w:t>
            </w:r>
            <w:r>
              <w:rPr>
                <w:color w:val="000000"/>
              </w:rPr>
              <w:t> </w:t>
            </w:r>
          </w:p>
        </w:tc>
        <w:tc>
          <w:tcPr>
            <w:tcW w:w="4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704"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11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U.S. fixed income</w:t>
            </w:r>
          </w:p>
        </w:tc>
        <w:tc>
          <w:tcPr>
            <w:tcW w:w="48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w:t>
            </w:r>
            <w:r>
              <w:rPr>
                <w:color w:val="000000"/>
              </w:rPr>
              <w:t> </w:t>
            </w:r>
          </w:p>
        </w:tc>
        <w:tc>
          <w:tcPr>
            <w:tcW w:w="4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704"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48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100</w:t>
            </w:r>
            <w:r>
              <w:rPr>
                <w:color w:val="000000"/>
              </w:rPr>
              <w:t> </w:t>
            </w:r>
          </w:p>
        </w:tc>
        <w:tc>
          <w:tcPr>
            <w:tcW w:w="4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70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Company manages approximately 41% of the pension assets internally, of which the majority is invested in Berkshire Hathaway stock, with the remaining investments in private investment funds, Markel stock, and short-term fixed-income securities. The remaining 59% of plan assets are managed by two investment companies. The goal of the investment managers is to produce moderate long-term growth in the value of these assets, while protecting them against large decreases in value. Both investment managers may invest in a combination of equity and fixed-income securities and cash. The managers are not permitted to invest in securities of the Company or in alternative investments. One investment manager cannot invest more than 15% of the assets at the time of purchase in each of the stocks of Alphabet and Berkshire Hathaway, and no more than 50% of the assets it manages in specified international exchanges at the time the investment is made. The other investment manager cannot invest more than 20% of the assets at the time of purchase in the stock of Berkshire Hathaway and no more than 15% of the assets it manages in specified international exchanges at the time the investment is made. Excluding the exceptions noted above, the investment managers cannot invest more than 10% of the assets in the securities of any other single issuer, except for obligations of the U.S. Government, without receiving prior approval from the Plan administrator.</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Company evaluated its defined benefit pension plan asset portfolio for the existence of significant concentrations (defined as greater than 10% of plan assets) of credit risk as of June 30, 2026. Types of concentrations that were evaluated include, but are not limited to, investment concentrations in a single entity, type of industry, foreign country and individual fund. At June 30, 2026, the pension plan held investments in one common stock and one private investment fund that exceeded 10% of total plan assets, valued at $1,232.0 million, or approximately 37% of total plan assets. At December 31, 2025, the pension plan held investments in one common stock and one private investment fund that exceeded 10% of total plan assets, valued at $1,267.4 million, or approximately 37% of total plan assets. Assets also included $113.3 million and $124.7 million of Markel shares at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180" w:after="180"/>
        <w:jc w:val="left"/>
        <w:rPr>
          <w:rFonts w:ascii="Arial;sans-serif" w:hAnsi="Arial;sans-serif"/>
          <w:b/>
          <w:color w:val="000000"/>
          <w:sz w:val="20"/>
        </w:rPr>
      </w:pPr>
      <w:r>
        <w:rPr>
          <w:rFonts w:ascii="Arial;sans-serif" w:hAnsi="Arial;sans-serif"/>
          <w:b/>
          <w:color w:val="000000"/>
          <w:sz w:val="20"/>
        </w:rPr>
        <w:t>13. OTHER NON-OPERATING EXPENSE</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A summary of non-operating expense is as follows:</w:t>
      </w:r>
    </w:p>
    <w:tbl>
      <w:tblPr>
        <w:tblW w:w="8624" w:type="dxa"/>
        <w:jc w:val="left"/>
        <w:tblInd w:w="0" w:type="dxa"/>
        <w:tblLayout w:type="fixed"/>
        <w:tblCellMar>
          <w:top w:w="28" w:type="dxa"/>
          <w:left w:w="28" w:type="dxa"/>
          <w:bottom w:w="28" w:type="dxa"/>
          <w:right w:w="28" w:type="dxa"/>
        </w:tblCellMar>
      </w:tblPr>
      <w:tblGrid>
        <w:gridCol w:w="1212"/>
        <w:gridCol w:w="1063"/>
        <w:gridCol w:w="1069"/>
        <w:gridCol w:w="211"/>
        <w:gridCol w:w="691"/>
        <w:gridCol w:w="109"/>
        <w:gridCol w:w="109"/>
        <w:gridCol w:w="109"/>
        <w:gridCol w:w="109"/>
        <w:gridCol w:w="211"/>
        <w:gridCol w:w="796"/>
        <w:gridCol w:w="109"/>
        <w:gridCol w:w="109"/>
        <w:gridCol w:w="109"/>
        <w:gridCol w:w="109"/>
        <w:gridCol w:w="211"/>
        <w:gridCol w:w="691"/>
        <w:gridCol w:w="109"/>
        <w:gridCol w:w="109"/>
        <w:gridCol w:w="109"/>
        <w:gridCol w:w="109"/>
        <w:gridCol w:w="211"/>
        <w:gridCol w:w="796"/>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5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99"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Six Months Ended </w:t>
              <w:br/>
              <w:t> June 30</w:t>
            </w:r>
          </w:p>
        </w:tc>
      </w:tr>
      <w:tr>
        <w:trPr/>
        <w:tc>
          <w:tcPr>
            <w:tcW w:w="334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3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(Loss) gain on sales of businesses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69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(5,151)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371 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69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(5,151)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371 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Foreign currency gain (loss), net</w:t>
            </w:r>
          </w:p>
        </w:tc>
        <w:tc>
          <w:tcPr>
            <w:tcW w:w="9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663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(4,475)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(561)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(8,854)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Gain on sale of cost method investment</w:t>
            </w:r>
          </w:p>
        </w:tc>
        <w:tc>
          <w:tcPr>
            <w:tcW w:w="90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484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Impairment of a cost method investment</w:t>
            </w:r>
          </w:p>
        </w:tc>
        <w:tc>
          <w:tcPr>
            <w:tcW w:w="90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(12,679)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(12,679)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Other gain, net</w:t>
            </w:r>
          </w:p>
        </w:tc>
        <w:tc>
          <w:tcPr>
            <w:tcW w:w="9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1,957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2,269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Total Other Non-Operating Expense</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6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(2,531)</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(16,456)</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6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(2,959)</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(20,521)</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In the second quarter of 2026, the Company recorded a $5.2 million loss related to Kaplan’s sale of KLG (see Note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0" w:after="180"/>
        <w:jc w:val="left"/>
        <w:rPr>
          <w:rFonts w:ascii="Arial;sans-serif" w:hAnsi="Arial;sans-serif"/>
          <w:b/>
          <w:color w:val="000000"/>
          <w:sz w:val="20"/>
        </w:rPr>
      </w:pPr>
      <w:r>
        <w:rPr>
          <w:rFonts w:ascii="Arial;sans-serif" w:hAnsi="Arial;sans-serif"/>
          <w:b/>
          <w:color w:val="000000"/>
          <w:sz w:val="20"/>
        </w:rPr>
        <w:t>14. ACCUMULATED OTHER COMPREHENSIVE INCOME (LOSS)</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other comprehensive income (loss) consists of the following components:</w:t>
      </w:r>
    </w:p>
    <w:tbl>
      <w:tblPr>
        <w:tblW w:w="10205" w:type="dxa"/>
        <w:jc w:val="left"/>
        <w:tblInd w:w="0" w:type="dxa"/>
        <w:tblLayout w:type="fixed"/>
        <w:tblCellMar>
          <w:top w:w="28" w:type="dxa"/>
          <w:left w:w="28" w:type="dxa"/>
          <w:bottom w:w="28" w:type="dxa"/>
          <w:right w:w="28" w:type="dxa"/>
        </w:tblCellMar>
      </w:tblPr>
      <w:tblGrid>
        <w:gridCol w:w="1021"/>
        <w:gridCol w:w="637"/>
        <w:gridCol w:w="594"/>
        <w:gridCol w:w="211"/>
        <w:gridCol w:w="853"/>
        <w:gridCol w:w="109"/>
        <w:gridCol w:w="109"/>
        <w:gridCol w:w="109"/>
        <w:gridCol w:w="109"/>
        <w:gridCol w:w="211"/>
        <w:gridCol w:w="736"/>
        <w:gridCol w:w="109"/>
        <w:gridCol w:w="109"/>
        <w:gridCol w:w="109"/>
        <w:gridCol w:w="109"/>
        <w:gridCol w:w="211"/>
        <w:gridCol w:w="853"/>
        <w:gridCol w:w="109"/>
        <w:gridCol w:w="109"/>
        <w:gridCol w:w="109"/>
        <w:gridCol w:w="109"/>
        <w:gridCol w:w="211"/>
        <w:gridCol w:w="721"/>
        <w:gridCol w:w="109"/>
        <w:gridCol w:w="109"/>
        <w:gridCol w:w="109"/>
        <w:gridCol w:w="109"/>
        <w:gridCol w:w="211"/>
        <w:gridCol w:w="466"/>
        <w:gridCol w:w="109"/>
        <w:gridCol w:w="109"/>
        <w:gridCol w:w="109"/>
        <w:gridCol w:w="109"/>
        <w:gridCol w:w="211"/>
        <w:gridCol w:w="721"/>
        <w:gridCol w:w="157"/>
      </w:tblGrid>
      <w:tr>
        <w:trPr/>
        <w:tc>
          <w:tcPr>
            <w:tcW w:w="102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Three Months Ended June 30</w:t>
            </w:r>
          </w:p>
        </w:tc>
      </w:tr>
      <w:tr>
        <w:trPr/>
        <w:tc>
          <w:tcPr>
            <w:tcW w:w="225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405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225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Before-Tax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After-Tax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Before-Tax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After-Tax</w:t>
            </w:r>
          </w:p>
        </w:tc>
      </w:tr>
      <w:tr>
        <w:trPr/>
        <w:tc>
          <w:tcPr>
            <w:tcW w:w="225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173"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Amount</w:t>
            </w:r>
          </w:p>
        </w:tc>
      </w:tr>
      <w:tr>
        <w:trPr/>
        <w:tc>
          <w:tcPr>
            <w:tcW w:w="22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225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Translation adjustments arising during the period</w:t>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53"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53"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32,283 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32,283 </w:t>
            </w:r>
          </w:p>
        </w:tc>
        <w:tc>
          <w:tcPr>
            <w:tcW w:w="15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Adjustment for sales of businesses with foreign operations</w:t>
            </w:r>
          </w:p>
        </w:tc>
        <w:tc>
          <w:tcPr>
            <w:tcW w:w="106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6,175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6,175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646 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6,300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6,300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32,929 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32,929 </w:t>
            </w:r>
          </w:p>
        </w:tc>
        <w:tc>
          <w:tcPr>
            <w:tcW w:w="1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Pension and other postretirement plans:</w:t>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ind w:left="0" w:right="0" w:hanging="180"/>
              <w:jc w:val="left"/>
              <w:rPr>
                <w:color w:val="000000"/>
              </w:rPr>
            </w:pPr>
            <w:r>
              <w:rPr>
                <w:color w:val="000000"/>
              </w:rPr>
              <w:t>  </w:t>
            </w:r>
          </w:p>
        </w:tc>
      </w:tr>
      <w:tr>
        <w:trPr/>
        <w:tc>
          <w:tcPr>
            <w:tcW w:w="225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Actuarial loss</w:t>
            </w:r>
          </w:p>
        </w:tc>
        <w:tc>
          <w:tcPr>
            <w:tcW w:w="106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(89,928)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23,393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(66,535)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Amortization of net prior service credit included in net income</w:t>
            </w:r>
          </w:p>
        </w:tc>
        <w:tc>
          <w:tcPr>
            <w:tcW w:w="106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(497)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(368)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(388)</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lineRule="auto" w:line="264" w:before="0" w:after="0"/>
              <w:ind w:left="0" w:right="0" w:hanging="180"/>
              <w:jc w:val="left"/>
              <w:rPr>
                <w:rFonts w:ascii="Arial;sans-serif" w:hAnsi="Arial;sans-serif"/>
                <w:b w:val="false"/>
                <w:color w:val="000000"/>
                <w:sz w:val="18"/>
              </w:rPr>
            </w:pPr>
            <w:r>
              <w:rPr>
                <w:rFonts w:ascii="Arial;sans-serif" w:hAnsi="Arial;sans-serif"/>
                <w:b w:val="false"/>
                <w:color w:val="000000"/>
                <w:sz w:val="18"/>
              </w:rPr>
              <w:t>Amortization of net actuarial gain included in net income</w:t>
            </w:r>
          </w:p>
        </w:tc>
        <w:tc>
          <w:tcPr>
            <w:tcW w:w="106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(282)</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Settlement gain included in net income</w:t>
            </w:r>
          </w:p>
        </w:tc>
        <w:tc>
          <w:tcPr>
            <w:tcW w:w="106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(136,955)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35,625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(101,330)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(227,638)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59,214</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(168,424)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(901)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(670)</w:t>
            </w:r>
          </w:p>
        </w:tc>
        <w:tc>
          <w:tcPr>
            <w:tcW w:w="1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Cash flow hedges:</w:t>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225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Gain (loss) for the period</w:t>
            </w:r>
          </w:p>
        </w:tc>
        <w:tc>
          <w:tcPr>
            <w:tcW w:w="106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640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(269)</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Other Comprehensive (Loss) Income</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5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(220,698)</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59,049</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5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(161,649)</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31,664 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326 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31,990 </w:t>
            </w:r>
          </w:p>
        </w:tc>
        <w:tc>
          <w:tcPr>
            <w:tcW w:w="15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1"/>
        <w:gridCol w:w="637"/>
        <w:gridCol w:w="594"/>
        <w:gridCol w:w="211"/>
        <w:gridCol w:w="853"/>
        <w:gridCol w:w="109"/>
        <w:gridCol w:w="109"/>
        <w:gridCol w:w="109"/>
        <w:gridCol w:w="109"/>
        <w:gridCol w:w="211"/>
        <w:gridCol w:w="736"/>
        <w:gridCol w:w="109"/>
        <w:gridCol w:w="109"/>
        <w:gridCol w:w="109"/>
        <w:gridCol w:w="109"/>
        <w:gridCol w:w="211"/>
        <w:gridCol w:w="853"/>
        <w:gridCol w:w="109"/>
        <w:gridCol w:w="109"/>
        <w:gridCol w:w="109"/>
        <w:gridCol w:w="109"/>
        <w:gridCol w:w="211"/>
        <w:gridCol w:w="721"/>
        <w:gridCol w:w="109"/>
        <w:gridCol w:w="109"/>
        <w:gridCol w:w="109"/>
        <w:gridCol w:w="109"/>
        <w:gridCol w:w="211"/>
        <w:gridCol w:w="466"/>
        <w:gridCol w:w="109"/>
        <w:gridCol w:w="109"/>
        <w:gridCol w:w="109"/>
        <w:gridCol w:w="109"/>
        <w:gridCol w:w="211"/>
        <w:gridCol w:w="721"/>
        <w:gridCol w:w="157"/>
      </w:tblGrid>
      <w:tr>
        <w:trPr/>
        <w:tc>
          <w:tcPr>
            <w:tcW w:w="102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795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25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405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225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Before-Tax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After-Tax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Before-Tax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After-Tax</w:t>
            </w:r>
          </w:p>
        </w:tc>
      </w:tr>
      <w:tr>
        <w:trPr/>
        <w:tc>
          <w:tcPr>
            <w:tcW w:w="225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173"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Amount</w:t>
            </w:r>
          </w:p>
        </w:tc>
      </w:tr>
      <w:tr>
        <w:trPr/>
        <w:tc>
          <w:tcPr>
            <w:tcW w:w="22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225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Translation adjustments arising during the period</w:t>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53"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(6,123)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53"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(6,123)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46,550 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46,550 </w:t>
            </w:r>
          </w:p>
        </w:tc>
        <w:tc>
          <w:tcPr>
            <w:tcW w:w="15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Adjustment for sales of businesses with foreign operations</w:t>
            </w:r>
          </w:p>
        </w:tc>
        <w:tc>
          <w:tcPr>
            <w:tcW w:w="106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6,175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6,175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646 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47,196 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47,196 </w:t>
            </w:r>
          </w:p>
        </w:tc>
        <w:tc>
          <w:tcPr>
            <w:tcW w:w="1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Pension and other postretirement plans:</w:t>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ind w:left="0" w:right="0" w:hanging="180"/>
              <w:jc w:val="left"/>
              <w:rPr>
                <w:color w:val="000000"/>
              </w:rPr>
            </w:pPr>
            <w:r>
              <w:rPr>
                <w:color w:val="000000"/>
              </w:rPr>
              <w:t>  </w:t>
            </w:r>
          </w:p>
        </w:tc>
      </w:tr>
      <w:tr>
        <w:trPr/>
        <w:tc>
          <w:tcPr>
            <w:tcW w:w="225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Actuarial loss</w:t>
            </w:r>
          </w:p>
        </w:tc>
        <w:tc>
          <w:tcPr>
            <w:tcW w:w="106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(89,928)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23,393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(66,535)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Amortization of net prior service credit included in net income</w:t>
            </w:r>
          </w:p>
        </w:tc>
        <w:tc>
          <w:tcPr>
            <w:tcW w:w="106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(993)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259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(734)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(774)</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lineRule="auto" w:line="264" w:before="0" w:after="0"/>
              <w:ind w:left="0" w:right="0" w:hanging="180"/>
              <w:jc w:val="left"/>
              <w:rPr>
                <w:rFonts w:ascii="Arial;sans-serif" w:hAnsi="Arial;sans-serif"/>
                <w:b w:val="false"/>
                <w:color w:val="000000"/>
                <w:sz w:val="18"/>
              </w:rPr>
            </w:pPr>
            <w:r>
              <w:rPr>
                <w:rFonts w:ascii="Arial;sans-serif" w:hAnsi="Arial;sans-serif"/>
                <w:b w:val="false"/>
                <w:color w:val="000000"/>
                <w:sz w:val="18"/>
              </w:rPr>
              <w:t>Amortization of net actuarial gain included in net income</w:t>
            </w:r>
          </w:p>
        </w:tc>
        <w:tc>
          <w:tcPr>
            <w:tcW w:w="106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(516)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134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(382)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(564)</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Settlement gain included in net income</w:t>
            </w:r>
          </w:p>
        </w:tc>
        <w:tc>
          <w:tcPr>
            <w:tcW w:w="106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(136,955)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35,625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(101,330)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10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(228,392)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59,411</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(168,981)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(1,799)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461 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(1,338)</w:t>
            </w:r>
          </w:p>
        </w:tc>
        <w:tc>
          <w:tcPr>
            <w:tcW w:w="1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Cash flow hedges:</w:t>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225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Gain (loss) for the period</w:t>
            </w:r>
          </w:p>
        </w:tc>
        <w:tc>
          <w:tcPr>
            <w:tcW w:w="106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1,266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(328)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938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(772)</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Other Comprehensive (Loss) Income</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5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(227,074)</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59,083</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5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(167,991)</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44,354 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732 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45,086 </w:t>
            </w:r>
          </w:p>
        </w:tc>
        <w:tc>
          <w:tcPr>
            <w:tcW w:w="15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accumulated balances related to each component of other comprehensive income (loss) are as follows:</w:t>
      </w:r>
    </w:p>
    <w:tbl>
      <w:tblPr>
        <w:tblW w:w="10205" w:type="dxa"/>
        <w:jc w:val="left"/>
        <w:tblInd w:w="0" w:type="dxa"/>
        <w:tblLayout w:type="fixed"/>
        <w:tblCellMar>
          <w:top w:w="28" w:type="dxa"/>
          <w:left w:w="28" w:type="dxa"/>
          <w:bottom w:w="28" w:type="dxa"/>
          <w:right w:w="28" w:type="dxa"/>
        </w:tblCellMar>
      </w:tblPr>
      <w:tblGrid>
        <w:gridCol w:w="1694"/>
        <w:gridCol w:w="1378"/>
        <w:gridCol w:w="1313"/>
        <w:gridCol w:w="211"/>
        <w:gridCol w:w="768"/>
        <w:gridCol w:w="109"/>
        <w:gridCol w:w="109"/>
        <w:gridCol w:w="109"/>
        <w:gridCol w:w="109"/>
        <w:gridCol w:w="243"/>
        <w:gridCol w:w="976"/>
        <w:gridCol w:w="127"/>
        <w:gridCol w:w="109"/>
        <w:gridCol w:w="109"/>
        <w:gridCol w:w="109"/>
        <w:gridCol w:w="211"/>
        <w:gridCol w:w="663"/>
        <w:gridCol w:w="109"/>
        <w:gridCol w:w="109"/>
        <w:gridCol w:w="109"/>
        <w:gridCol w:w="109"/>
        <w:gridCol w:w="247"/>
        <w:gridCol w:w="989"/>
        <w:gridCol w:w="186"/>
      </w:tblGrid>
      <w:tr>
        <w:trPr/>
        <w:tc>
          <w:tcPr>
            <w:tcW w:w="1694"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38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 net of taxes)</w:t>
            </w:r>
          </w:p>
        </w:tc>
        <w:tc>
          <w:tcPr>
            <w:tcW w:w="1088"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 xml:space="preserve">Cumulative </w:t>
              <w:br/>
              <w:t xml:space="preserve">Foreign </w:t>
              <w:br/>
              <w:t xml:space="preserve">Currency </w:t>
              <w:br/>
              <w:t xml:space="preserve">Translation </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 xml:space="preserve">Unrealized Gain </w:t>
              <w:br/>
              <w:t xml:space="preserve">on Pensions </w:t>
              <w:br/>
              <w:t xml:space="preserve">and Other </w:t>
              <w:br/>
              <w:t xml:space="preserve">Postretirement </w:t>
              <w:b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 xml:space="preserve">Cash Flow </w:t>
              <w:br/>
              <w:t>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 xml:space="preserve">Accumulated </w:t>
              <w:br/>
              <w:t xml:space="preserve">Other </w:t>
              <w:br/>
              <w:t xml:space="preserve">Comprehensive </w:t>
              <w:br/>
              <w:t>Income</w:t>
            </w:r>
          </w:p>
        </w:tc>
      </w:tr>
      <w:tr>
        <w:trPr/>
        <w:tc>
          <w:tcPr>
            <w:tcW w:w="43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As of December 31, 2025</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6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(12,262)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601,064 </w:t>
            </w:r>
          </w:p>
        </w:tc>
        <w:tc>
          <w:tcPr>
            <w:tcW w:w="12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(1,722)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89"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587,080 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5"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38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Other comprehensive (loss) income before reclassifications</w:t>
            </w:r>
          </w:p>
        </w:tc>
        <w:tc>
          <w:tcPr>
            <w:tcW w:w="9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(6,123)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(66,535)</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604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(72,054)</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5"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rFonts w:ascii="Arial;sans-serif" w:hAnsi="Arial;sans-serif"/>
                <w:b/>
                <w:color w:val="000000"/>
                <w:sz w:val="18"/>
              </w:rPr>
            </w:pPr>
            <w:r>
              <w:rPr>
                <w:rFonts w:ascii="Arial;sans-serif" w:hAnsi="Arial;sans-serif"/>
                <w:b/>
                <w:color w:val="000000"/>
                <w:sz w:val="18"/>
              </w:rPr>
              <w:t>Net amount reclassified from accumulated other comprehensive income (loss)</w:t>
            </w:r>
          </w:p>
        </w:tc>
        <w:tc>
          <w:tcPr>
            <w:tcW w:w="979"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6,175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(102,446)</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334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(95,937)</w:t>
            </w:r>
          </w:p>
        </w:tc>
        <w:tc>
          <w:tcPr>
            <w:tcW w:w="18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8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Net other comprehensive (loss) income</w:t>
            </w:r>
          </w:p>
        </w:tc>
        <w:tc>
          <w:tcPr>
            <w:tcW w:w="97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(168,981)</w:t>
            </w:r>
          </w:p>
        </w:tc>
        <w:tc>
          <w:tcPr>
            <w:tcW w:w="12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938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(167,991)</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As of June 30, 2026</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76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(12,210)</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432,083</w:t>
            </w:r>
            <w:r>
              <w:rPr>
                <w:color w:val="000000"/>
              </w:rPr>
              <w:t> </w:t>
            </w:r>
          </w:p>
        </w:tc>
        <w:tc>
          <w:tcPr>
            <w:tcW w:w="12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66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(784)</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8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419,089</w:t>
            </w:r>
            <w:r>
              <w:rPr>
                <w:color w:val="000000"/>
              </w:rPr>
              <w:t> </w:t>
            </w:r>
          </w:p>
        </w:tc>
        <w:tc>
          <w:tcPr>
            <w:tcW w:w="1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amounts and line items of reclassifications out of Accumulated Other Comprehensive Income (Loss) are as follows:</w:t>
      </w:r>
    </w:p>
    <w:tbl>
      <w:tblPr>
        <w:tblW w:w="10205" w:type="dxa"/>
        <w:jc w:val="left"/>
        <w:tblInd w:w="0" w:type="dxa"/>
        <w:tblLayout w:type="fixed"/>
        <w:tblCellMar>
          <w:top w:w="28" w:type="dxa"/>
          <w:left w:w="28" w:type="dxa"/>
          <w:bottom w:w="28" w:type="dxa"/>
          <w:right w:w="28" w:type="dxa"/>
        </w:tblCellMar>
      </w:tblPr>
      <w:tblGrid>
        <w:gridCol w:w="985"/>
        <w:gridCol w:w="727"/>
        <w:gridCol w:w="730"/>
        <w:gridCol w:w="211"/>
        <w:gridCol w:w="753"/>
        <w:gridCol w:w="109"/>
        <w:gridCol w:w="109"/>
        <w:gridCol w:w="109"/>
        <w:gridCol w:w="109"/>
        <w:gridCol w:w="211"/>
        <w:gridCol w:w="466"/>
        <w:gridCol w:w="109"/>
        <w:gridCol w:w="109"/>
        <w:gridCol w:w="109"/>
        <w:gridCol w:w="109"/>
        <w:gridCol w:w="211"/>
        <w:gridCol w:w="753"/>
        <w:gridCol w:w="109"/>
        <w:gridCol w:w="109"/>
        <w:gridCol w:w="109"/>
        <w:gridCol w:w="109"/>
        <w:gridCol w:w="211"/>
        <w:gridCol w:w="498"/>
        <w:gridCol w:w="109"/>
        <w:gridCol w:w="109"/>
        <w:gridCol w:w="109"/>
        <w:gridCol w:w="109"/>
        <w:gridCol w:w="790"/>
        <w:gridCol w:w="790"/>
        <w:gridCol w:w="1125"/>
      </w:tblGrid>
      <w:tr>
        <w:trPr/>
        <w:tc>
          <w:tcPr>
            <w:tcW w:w="98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r>
      <w:tr>
        <w:trPr/>
        <w:tc>
          <w:tcPr>
            <w:tcW w:w="2442" w:type="dxa"/>
            <w:gridSpan w:val="3"/>
            <w:tcBorders/>
            <w:tcMar>
              <w:top w:w="0"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  </w:t>
            </w:r>
          </w:p>
        </w:tc>
        <w:tc>
          <w:tcPr>
            <w:tcW w:w="2186" w:type="dxa"/>
            <w:gridSpan w:val="9"/>
            <w:vMerge w:val="restart"/>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9"/>
            <w:vMerge w:val="restart"/>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Six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vMerge w:val="restart"/>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Affected Line Item in the Condensed Consolidated Statements of Operations</w:t>
            </w:r>
          </w:p>
        </w:tc>
      </w:tr>
      <w:tr>
        <w:trPr/>
        <w:tc>
          <w:tcPr>
            <w:tcW w:w="2442" w:type="dxa"/>
            <w:gridSpan w:val="3"/>
            <w:tcBorders/>
            <w:tcMar>
              <w:top w:w="0"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  </w:t>
            </w:r>
          </w:p>
        </w:tc>
        <w:tc>
          <w:tcPr>
            <w:tcW w:w="2186"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0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Foreign Currency Translation Adjustments:</w:t>
            </w:r>
          </w:p>
        </w:tc>
        <w:tc>
          <w:tcPr>
            <w:tcW w:w="10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ind w:left="0" w:right="0" w:hanging="90"/>
              <w:jc w:val="center"/>
              <w:rPr>
                <w:color w:val="000000"/>
              </w:rPr>
            </w:pPr>
            <w:r>
              <w:rPr>
                <w:color w:val="000000"/>
              </w:rPr>
              <w:t>  </w:t>
            </w:r>
          </w:p>
        </w:tc>
      </w:tr>
      <w:tr>
        <w:trPr/>
        <w:tc>
          <w:tcPr>
            <w:tcW w:w="24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Adjustment for sales of businesses with foreign operations</w:t>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753"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6,175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753"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6,175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498"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27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Other expense, net</w:t>
            </w:r>
          </w:p>
        </w:tc>
      </w:tr>
      <w:tr>
        <w:trPr/>
        <w:tc>
          <w:tcPr>
            <w:tcW w:w="2442"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5" w:type="dxa"/>
            <w:gridSpan w:val="3"/>
            <w:tcBorders/>
            <w:vAlign w:val="center"/>
          </w:tcPr>
          <w:p>
            <w:pPr>
              <w:pStyle w:val="TableContents"/>
              <w:bidi w:val="0"/>
              <w:spacing w:before="0" w:after="283"/>
              <w:jc w:val="left"/>
              <w:rPr>
                <w:sz w:val="4"/>
                <w:szCs w:val="4"/>
              </w:rPr>
            </w:pPr>
            <w:r>
              <w:rPr>
                <w:sz w:val="4"/>
                <w:szCs w:val="4"/>
              </w:rPr>
            </w:r>
          </w:p>
        </w:tc>
      </w:tr>
      <w:tr>
        <w:trPr/>
        <w:tc>
          <w:tcPr>
            <w:tcW w:w="24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Pension and Other Postretirement Plans:</w:t>
            </w:r>
          </w:p>
        </w:tc>
        <w:tc>
          <w:tcPr>
            <w:tcW w:w="1073"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24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Amortization of net prior service credit</w:t>
            </w:r>
          </w:p>
        </w:tc>
        <w:tc>
          <w:tcPr>
            <w:tcW w:w="96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(497)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(993)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(1)</w:t>
            </w:r>
          </w:p>
        </w:tc>
      </w:tr>
      <w:tr>
        <w:trPr/>
        <w:tc>
          <w:tcPr>
            <w:tcW w:w="24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Amortization of net actuarial gain</w:t>
            </w:r>
          </w:p>
        </w:tc>
        <w:tc>
          <w:tcPr>
            <w:tcW w:w="96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(516)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(1)</w:t>
            </w:r>
          </w:p>
        </w:tc>
      </w:tr>
      <w:tr>
        <w:trPr/>
        <w:tc>
          <w:tcPr>
            <w:tcW w:w="24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Settlement gain</w:t>
            </w:r>
          </w:p>
        </w:tc>
        <w:tc>
          <w:tcPr>
            <w:tcW w:w="96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(136,955)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(136,955)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(1)</w:t>
            </w:r>
          </w:p>
        </w:tc>
      </w:tr>
      <w:tr>
        <w:trPr/>
        <w:tc>
          <w:tcPr>
            <w:tcW w:w="244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9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(137,710)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(901)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(138,464)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(1,799)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Before tax</w:t>
            </w:r>
          </w:p>
        </w:tc>
      </w:tr>
      <w:tr>
        <w:trPr/>
        <w:tc>
          <w:tcPr>
            <w:tcW w:w="244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96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35,821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36,018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7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r>
      <w:tr>
        <w:trPr/>
        <w:tc>
          <w:tcPr>
            <w:tcW w:w="244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9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(101,889)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(670)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(102,446)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(1,338)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Net of Tax</w:t>
            </w:r>
          </w:p>
        </w:tc>
      </w:tr>
      <w:tr>
        <w:trPr/>
        <w:tc>
          <w:tcPr>
            <w:tcW w:w="2442"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5" w:type="dxa"/>
            <w:gridSpan w:val="3"/>
            <w:tcBorders/>
            <w:vAlign w:val="center"/>
          </w:tcPr>
          <w:p>
            <w:pPr>
              <w:pStyle w:val="TableContents"/>
              <w:bidi w:val="0"/>
              <w:spacing w:before="0" w:after="283"/>
              <w:jc w:val="left"/>
              <w:rPr>
                <w:sz w:val="4"/>
                <w:szCs w:val="4"/>
              </w:rPr>
            </w:pPr>
            <w:r>
              <w:rPr>
                <w:sz w:val="4"/>
                <w:szCs w:val="4"/>
              </w:rPr>
            </w:r>
          </w:p>
        </w:tc>
      </w:tr>
      <w:tr>
        <w:trPr/>
        <w:tc>
          <w:tcPr>
            <w:tcW w:w="24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Cash Flow Hedges</w:t>
            </w:r>
          </w:p>
        </w:tc>
        <w:tc>
          <w:tcPr>
            <w:tcW w:w="9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170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334</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Interest expense</w:t>
            </w:r>
          </w:p>
        </w:tc>
      </w:tr>
      <w:tr>
        <w:trPr/>
        <w:tc>
          <w:tcPr>
            <w:tcW w:w="2442"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5" w:type="dxa"/>
            <w:gridSpan w:val="3"/>
            <w:tcBorders/>
            <w:vAlign w:val="center"/>
          </w:tcPr>
          <w:p>
            <w:pPr>
              <w:pStyle w:val="TableContents"/>
              <w:bidi w:val="0"/>
              <w:spacing w:before="0" w:after="283"/>
              <w:jc w:val="left"/>
              <w:rPr>
                <w:sz w:val="4"/>
                <w:szCs w:val="4"/>
              </w:rPr>
            </w:pPr>
            <w:r>
              <w:rPr>
                <w:sz w:val="4"/>
                <w:szCs w:val="4"/>
              </w:rPr>
            </w:r>
          </w:p>
        </w:tc>
      </w:tr>
      <w:tr>
        <w:trPr/>
        <w:tc>
          <w:tcPr>
            <w:tcW w:w="2442"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5" w:type="dxa"/>
            <w:gridSpan w:val="3"/>
            <w:tcBorders/>
            <w:vAlign w:val="center"/>
          </w:tcPr>
          <w:p>
            <w:pPr>
              <w:pStyle w:val="TableContents"/>
              <w:bidi w:val="0"/>
              <w:spacing w:before="0" w:after="283"/>
              <w:jc w:val="left"/>
              <w:rPr>
                <w:sz w:val="4"/>
                <w:szCs w:val="4"/>
              </w:rPr>
            </w:pPr>
            <w:r>
              <w:rPr>
                <w:sz w:val="4"/>
                <w:szCs w:val="4"/>
              </w:rPr>
            </w:r>
          </w:p>
        </w:tc>
      </w:tr>
      <w:tr>
        <w:trPr/>
        <w:tc>
          <w:tcPr>
            <w:tcW w:w="24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Total reclassification for the period</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75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(95,544)</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75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(95,937)</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49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(571)</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Net of Tax</w:t>
            </w:r>
          </w:p>
        </w:tc>
      </w:tr>
    </w:tbl>
    <w:p>
      <w:pPr>
        <w:pStyle w:val="TextBody"/>
        <w:bidi w:val="0"/>
        <w:spacing w:lineRule="auto" w:line="264" w:before="0" w:after="0"/>
        <w:jc w:val="left"/>
        <w:rPr>
          <w:rFonts w:ascii="Arial;sans-serif" w:hAnsi="Arial;sans-serif"/>
          <w:b w:val="false"/>
          <w:color w:val="000000"/>
          <w:sz w:val="16"/>
        </w:rPr>
      </w:pPr>
      <w:r>
        <w:rPr>
          <w:rFonts w:ascii="Arial;sans-serif" w:hAnsi="Arial;sans-serif"/>
          <w:b w:val="false"/>
          <w:color w:val="000000"/>
          <w:sz w:val="16"/>
        </w:rPr>
        <w:t>____________</w:t>
      </w:r>
    </w:p>
    <w:p>
      <w:pPr>
        <w:pStyle w:val="TextBody"/>
        <w:bidi w:val="0"/>
        <w:spacing w:lineRule="auto" w:line="264" w:before="0" w:after="60"/>
        <w:ind w:left="0" w:right="0" w:hanging="450"/>
        <w:jc w:val="left"/>
        <w:rPr>
          <w:rFonts w:ascii="Arial;sans-serif" w:hAnsi="Arial;sans-serif"/>
          <w:b w:val="false"/>
          <w:color w:val="000000"/>
          <w:sz w:val="16"/>
        </w:rPr>
      </w:pPr>
      <w:r>
        <w:rPr>
          <w:rFonts w:ascii="Arial;sans-serif" w:hAnsi="Arial;sans-serif"/>
          <w:b w:val="false"/>
          <w:color w:val="000000"/>
          <w:sz w:val="16"/>
        </w:rPr>
        <w:t>(1)    These accumulated other comprehensive income (loss) components are included in the computation of net periodic pension and postretirement plan cost (see Note 12) and are included in non-operating pension and postretirement benefit income in the Company’s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rPr>
      </w:pPr>
      <w:r>
        <w:rPr>
          <w:rFonts w:ascii="Arial;sans-serif" w:hAnsi="Arial;sans-serif"/>
          <w:b/>
          <w:color w:val="000000"/>
          <w:sz w:val="20"/>
        </w:rPr>
        <w:t>15. CONTINGENCIES</w:t>
      </w:r>
    </w:p>
    <w:p>
      <w:pPr>
        <w:pStyle w:val="TextBody"/>
        <w:bidi w:val="0"/>
        <w:spacing w:lineRule="auto" w:line="264" w:before="0" w:after="180"/>
        <w:jc w:val="left"/>
        <w:rPr/>
      </w:pPr>
      <w:r>
        <w:rPr>
          <w:rFonts w:ascii="Arial;sans-serif" w:hAnsi="Arial;sans-serif"/>
          <w:b/>
          <w:color w:val="000000"/>
          <w:sz w:val="20"/>
        </w:rPr>
        <w:t>Litigation, Legal and Other Matters</w:t>
      </w:r>
      <w:r>
        <w:rPr>
          <w:rFonts w:ascii="Arial;sans-serif" w:hAnsi="Arial;sans-serif"/>
          <w:b w:val="false"/>
          <w:color w:val="000000"/>
          <w:sz w:val="20"/>
        </w:rPr>
        <w:t>.  The Company and its subsidiaries are subject to complaints and administrative proceedings and are defendants in various civil lawsuits that have arisen in the ordinary course of their businesses, including contract disputes; actions alleging negligence, libel, defamation and invasion of privacy; trademark, copyright and patent infringement; real estate lease and sublease disputes; violations of employment laws and applicable wage and hour laws; and statutory or common law claims involving current and former students and employees.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However, based on currently available information, management believes it is reasonably possible that future losses from existing and threatened legal, regulatory and other proceedings in excess of the amounts recorded could reach approximately $20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rPr>
      </w:pPr>
      <w:r>
        <w:rPr>
          <w:rFonts w:ascii="Arial;sans-serif" w:hAnsi="Arial;sans-serif"/>
          <w:b/>
          <w:color w:val="000000"/>
          <w:sz w:val="20"/>
        </w:rPr>
        <w:t>16. BUSINESS SEGMENTS</w:t>
      </w:r>
    </w:p>
    <w:p>
      <w:pPr>
        <w:pStyle w:val="TextBody"/>
        <w:bidi w:val="0"/>
        <w:spacing w:lineRule="auto" w:line="264"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has seven reportable segments: Kaplan International, Kaplan Higher Education, Kaplan Supplemental Education, Television Broadcasting, CSI, Manufacturing and Automotive.</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As of June 30, 2026, Kaplan had a total outstanding accounts receivable balance of $25.5 million from Purdue Global related to amounts due for reimbursements for services. Included in this total, Kaplan has a $3.7 million short-term receivable balance due from Purdue Global at June 30, 2026 related to the advance of $20.0 million during the initial KU Transaction.</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Company’s segment information is as follows:</w:t>
      </w:r>
    </w:p>
    <w:tbl>
      <w:tblPr>
        <w:tblW w:w="10205" w:type="dxa"/>
        <w:jc w:val="left"/>
        <w:tblInd w:w="0" w:type="dxa"/>
        <w:tblLayout w:type="fixed"/>
        <w:tblCellMar>
          <w:top w:w="28" w:type="dxa"/>
          <w:left w:w="28" w:type="dxa"/>
          <w:bottom w:w="28" w:type="dxa"/>
          <w:right w:w="28" w:type="dxa"/>
        </w:tblCellMar>
      </w:tblPr>
      <w:tblGrid>
        <w:gridCol w:w="1046"/>
        <w:gridCol w:w="710"/>
        <w:gridCol w:w="713"/>
        <w:gridCol w:w="181"/>
        <w:gridCol w:w="661"/>
        <w:gridCol w:w="109"/>
        <w:gridCol w:w="109"/>
        <w:gridCol w:w="109"/>
        <w:gridCol w:w="109"/>
        <w:gridCol w:w="212"/>
        <w:gridCol w:w="777"/>
        <w:gridCol w:w="128"/>
        <w:gridCol w:w="109"/>
        <w:gridCol w:w="109"/>
        <w:gridCol w:w="109"/>
        <w:gridCol w:w="181"/>
        <w:gridCol w:w="661"/>
        <w:gridCol w:w="109"/>
        <w:gridCol w:w="109"/>
        <w:gridCol w:w="109"/>
        <w:gridCol w:w="109"/>
        <w:gridCol w:w="191"/>
        <w:gridCol w:w="699"/>
        <w:gridCol w:w="116"/>
        <w:gridCol w:w="109"/>
        <w:gridCol w:w="109"/>
        <w:gridCol w:w="109"/>
        <w:gridCol w:w="181"/>
        <w:gridCol w:w="661"/>
        <w:gridCol w:w="109"/>
        <w:gridCol w:w="109"/>
        <w:gridCol w:w="109"/>
        <w:gridCol w:w="109"/>
        <w:gridCol w:w="181"/>
        <w:gridCol w:w="785"/>
        <w:gridCol w:w="159"/>
      </w:tblGrid>
      <w:tr>
        <w:trPr/>
        <w:tc>
          <w:tcPr>
            <w:tcW w:w="104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6" w:type="dxa"/>
            <w:gridSpan w:val="3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Three Months Ended June 30, 2026</w:t>
            </w:r>
          </w:p>
        </w:tc>
      </w:tr>
      <w:tr>
        <w:trPr/>
        <w:tc>
          <w:tcPr>
            <w:tcW w:w="24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(in thousands)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Education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Television Broadcasting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Healthcare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Manufacturing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Automotive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Total Segments</w:t>
            </w:r>
          </w:p>
        </w:tc>
      </w:tr>
      <w:tr>
        <w:trPr/>
        <w:tc>
          <w:tcPr>
            <w:tcW w:w="2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Operating Revenues</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417,808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7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109,630</w:t>
            </w:r>
            <w:r>
              <w:rPr>
                <w:color w:val="000000"/>
              </w:rPr>
              <w:t> </w:t>
            </w:r>
          </w:p>
        </w:tc>
        <w:tc>
          <w:tcPr>
            <w:tcW w:w="1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247,651</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99"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133,280</w:t>
            </w:r>
            <w:r>
              <w:rPr>
                <w:color w:val="000000"/>
              </w:rPr>
              <w:t>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301,352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8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1,209,721</w:t>
            </w:r>
            <w:r>
              <w:rPr>
                <w:color w:val="000000"/>
              </w:rPr>
              <w:t>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i/>
                <w:color w:val="000000"/>
                <w:sz w:val="14"/>
              </w:rPr>
            </w:pPr>
            <w:r>
              <w:rPr>
                <w:rFonts w:ascii="Arial;sans-serif" w:hAnsi="Arial;sans-serif"/>
                <w:b w:val="false"/>
                <w:i/>
                <w:color w:val="000000"/>
                <w:sz w:val="14"/>
              </w:rPr>
              <w:t>Reconciliation of Revenue</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pPr>
            <w:r>
              <w:rPr>
                <w:rFonts w:ascii="Arial;sans-serif" w:hAnsi="Arial;sans-serif"/>
                <w:b w:val="false"/>
                <w:color w:val="000000"/>
                <w:sz w:val="14"/>
              </w:rPr>
              <w:t xml:space="preserve">Other Businesses and Corporate Office Revenues </w:t>
            </w:r>
            <w:r>
              <w:rPr>
                <w:rFonts w:ascii="Arial;sans-serif" w:hAnsi="Arial;sans-serif"/>
                <w:b w:val="false"/>
                <w:color w:val="000000"/>
                <w:sz w:val="9"/>
              </w:rPr>
              <w:t>(1)</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93,562</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Intersegment Elimination</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4"/>
              </w:rPr>
            </w:pPr>
            <w:r>
              <w:rPr>
                <w:rFonts w:ascii="Arial;sans-serif" w:hAnsi="Arial;sans-serif"/>
                <w:b/>
                <w:color w:val="000000"/>
                <w:sz w:val="14"/>
              </w:rPr>
              <w:t>(777)</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Total Consolidated Revenues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8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1,302,506</w:t>
            </w:r>
            <w:r>
              <w:rPr>
                <w:color w:val="000000"/>
              </w:rPr>
              <w:t>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i/>
                <w:color w:val="000000"/>
                <w:sz w:val="14"/>
              </w:rPr>
              <w:t xml:space="preserve">Less: Significant Expenses </w:t>
            </w:r>
            <w:r>
              <w:rPr>
                <w:rFonts w:ascii="Arial;sans-serif" w:hAnsi="Arial;sans-serif"/>
                <w:b w:val="false"/>
                <w:i/>
                <w:color w:val="000000"/>
                <w:sz w:val="9"/>
              </w:rPr>
              <w:t>(2)</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4"/>
              </w:rPr>
              <w:t xml:space="preserve">Cost of Revenue </w:t>
            </w:r>
            <w:r>
              <w:rPr>
                <w:rFonts w:ascii="Arial;sans-serif" w:hAnsi="Arial;sans-serif"/>
                <w:b w:val="false"/>
                <w:color w:val="000000"/>
                <w:sz w:val="9"/>
              </w:rPr>
              <w:t>(3)</w:t>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159,247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162,496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98,107</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254,956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674,806</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pPr>
            <w:r>
              <w:rPr>
                <w:rFonts w:ascii="Arial;sans-serif" w:hAnsi="Arial;sans-serif"/>
                <w:b w:val="false"/>
                <w:color w:val="000000"/>
                <w:sz w:val="14"/>
              </w:rPr>
              <w:t xml:space="preserve">Payroll and Fringe Benefits Expense </w:t>
            </w:r>
            <w:r>
              <w:rPr>
                <w:rFonts w:ascii="Arial;sans-serif" w:hAnsi="Arial;sans-serif"/>
                <w:b w:val="false"/>
                <w:color w:val="000000"/>
                <w:sz w:val="9"/>
              </w:rPr>
              <w:t>(4)</w:t>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113,770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27,745</w:t>
            </w: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21,086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162,601</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Occupancy Expense</w:t>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25,497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2,009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27,506</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Advertising and Marketing Expense</w:t>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19,569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19,569</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Networking and Programming Expense</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29,846</w:t>
            </w: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29,846</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4"/>
              </w:rPr>
              <w:t xml:space="preserve">Management Services </w:t>
            </w:r>
            <w:r>
              <w:rPr>
                <w:rFonts w:ascii="Arial;sans-serif" w:hAnsi="Arial;sans-serif"/>
                <w:b w:val="false"/>
                <w:color w:val="000000"/>
                <w:sz w:val="9"/>
              </w:rPr>
              <w:t>(5)</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2,325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2,325</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4"/>
              </w:rPr>
              <w:t xml:space="preserve">Other Segment Items </w:t>
            </w:r>
            <w:r>
              <w:rPr>
                <w:rFonts w:ascii="Arial;sans-serif" w:hAnsi="Arial;sans-serif"/>
                <w:b w:val="false"/>
                <w:color w:val="000000"/>
                <w:sz w:val="9"/>
              </w:rPr>
              <w:t>(6)</w:t>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38,875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16,232</w:t>
            </w: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56,899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20,037</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10,918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142,961</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69"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Earnings Before Interest, Income Taxes, Depreciation, Amortization and Pension Service Cost (EBITDAP)</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60,850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7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35,807</w:t>
            </w:r>
            <w:r>
              <w:rPr>
                <w:color w:val="000000"/>
              </w:rPr>
              <w:t> </w:t>
            </w:r>
          </w:p>
        </w:tc>
        <w:tc>
          <w:tcPr>
            <w:tcW w:w="1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28,256</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99"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15,136</w:t>
            </w:r>
            <w:r>
              <w:rPr>
                <w:color w:val="000000"/>
              </w:rPr>
              <w:t>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10,058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8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150,107</w:t>
            </w:r>
            <w:r>
              <w:rPr>
                <w:color w:val="000000"/>
              </w:rPr>
              <w:t>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Pension Service Cost</w:t>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4,672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1,619</w:t>
            </w: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1,643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1,255</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51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9,240</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Depreciation Expense</w:t>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5,659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2,345</w:t>
            </w: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1,913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3,037</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1,937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14,891</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Income from Operations before Amortization of Intangible Assets</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50,519</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7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31,843</w:t>
            </w:r>
            <w:r>
              <w:rPr>
                <w:color w:val="000000"/>
              </w:rPr>
              <w:t> </w:t>
            </w:r>
          </w:p>
        </w:tc>
        <w:tc>
          <w:tcPr>
            <w:tcW w:w="1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24,700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99"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10,844</w:t>
            </w:r>
            <w:r>
              <w:rPr>
                <w:color w:val="000000"/>
              </w:rPr>
              <w:t>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8,070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8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125,976</w:t>
            </w:r>
            <w:r>
              <w:rPr>
                <w:color w:val="000000"/>
              </w:rPr>
              <w:t>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pPr>
            <w:r>
              <w:rPr>
                <w:rFonts w:ascii="Arial;sans-serif" w:hAnsi="Arial;sans-serif"/>
                <w:b/>
                <w:color w:val="000000"/>
                <w:sz w:val="14"/>
              </w:rPr>
              <w:t xml:space="preserve">Other Businesses </w:t>
            </w:r>
            <w:r>
              <w:rPr>
                <w:rFonts w:ascii="Arial;sans-serif" w:hAnsi="Arial;sans-serif"/>
                <w:b/>
                <w:color w:val="000000"/>
                <w:sz w:val="9"/>
              </w:rPr>
              <w:t>(7)</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4"/>
              </w:rPr>
            </w:pPr>
            <w:r>
              <w:rPr>
                <w:rFonts w:ascii="Arial;sans-serif" w:hAnsi="Arial;sans-serif"/>
                <w:b/>
                <w:color w:val="000000"/>
                <w:sz w:val="14"/>
              </w:rPr>
              <w:t>(16,650)</w:t>
            </w:r>
          </w:p>
        </w:tc>
        <w:tc>
          <w:tcPr>
            <w:tcW w:w="15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Corporate Costs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4"/>
              </w:rPr>
            </w:pPr>
            <w:r>
              <w:rPr>
                <w:rFonts w:ascii="Arial;sans-serif" w:hAnsi="Arial;sans-serif"/>
                <w:b/>
                <w:color w:val="000000"/>
                <w:sz w:val="14"/>
              </w:rPr>
              <w:t>(19,714)</w:t>
            </w:r>
          </w:p>
        </w:tc>
        <w:tc>
          <w:tcPr>
            <w:tcW w:w="15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Amortization of Intangible Assets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4"/>
              </w:rPr>
            </w:pPr>
            <w:r>
              <w:rPr>
                <w:rFonts w:ascii="Arial;sans-serif" w:hAnsi="Arial;sans-serif"/>
                <w:b/>
                <w:color w:val="000000"/>
                <w:sz w:val="14"/>
              </w:rPr>
              <w:t>(5,978)</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Income from Operations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8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83,634</w:t>
            </w:r>
            <w:r>
              <w:rPr>
                <w:color w:val="000000"/>
              </w:rPr>
              <w:t>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Equity in Losses of Affiliates, Net</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4"/>
              </w:rPr>
            </w:pPr>
            <w:r>
              <w:rPr>
                <w:rFonts w:ascii="Arial;sans-serif" w:hAnsi="Arial;sans-serif"/>
                <w:b/>
                <w:color w:val="000000"/>
                <w:sz w:val="14"/>
              </w:rPr>
              <w:t>(19,863)</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Interest Expense, Net</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4"/>
              </w:rPr>
            </w:pPr>
            <w:r>
              <w:rPr>
                <w:rFonts w:ascii="Arial;sans-serif" w:hAnsi="Arial;sans-serif"/>
                <w:b/>
                <w:color w:val="000000"/>
                <w:sz w:val="14"/>
              </w:rPr>
              <w:t>(15,292)</w:t>
            </w:r>
          </w:p>
        </w:tc>
        <w:tc>
          <w:tcPr>
            <w:tcW w:w="15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Non-Operating Pension and Postretirement Benefit Income, Net</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169,649</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Gain on Marketable Equity Securities, Net</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101,879</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Other Expense, Net</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4"/>
              </w:rPr>
            </w:pPr>
            <w:r>
              <w:rPr>
                <w:rFonts w:ascii="Arial;sans-serif" w:hAnsi="Arial;sans-serif"/>
                <w:b/>
                <w:color w:val="000000"/>
                <w:sz w:val="14"/>
              </w:rPr>
              <w:t>(2,531)</w:t>
            </w:r>
          </w:p>
        </w:tc>
        <w:tc>
          <w:tcPr>
            <w:tcW w:w="15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Income Before Income Taxes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8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317,476</w:t>
            </w:r>
            <w:r>
              <w:rPr>
                <w:color w:val="000000"/>
              </w:rPr>
              <w:t>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Capital Expenditures</w:t>
            </w:r>
          </w:p>
        </w:tc>
        <w:tc>
          <w:tcPr>
            <w:tcW w:w="18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4,003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77"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1,758</w:t>
            </w: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3,568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99"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2,391</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666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85"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12,386</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i/>
                <w:color w:val="000000"/>
                <w:sz w:val="14"/>
              </w:rPr>
            </w:pPr>
            <w:r>
              <w:rPr>
                <w:rFonts w:ascii="Arial;sans-serif" w:hAnsi="Arial;sans-serif"/>
                <w:b w:val="false"/>
                <w:i/>
                <w:color w:val="000000"/>
                <w:sz w:val="14"/>
              </w:rPr>
              <w:t>Reconciliation of Capital Expenditures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pPr>
            <w:r>
              <w:rPr>
                <w:rFonts w:ascii="Arial;sans-serif" w:hAnsi="Arial;sans-serif"/>
                <w:b w:val="false"/>
                <w:color w:val="000000"/>
                <w:sz w:val="14"/>
              </w:rPr>
              <w:t xml:space="preserve">Other Businesses and Corporate Office Capital Expenditures </w:t>
            </w:r>
            <w:r>
              <w:rPr>
                <w:rFonts w:ascii="Arial;sans-serif" w:hAnsi="Arial;sans-serif"/>
                <w:b w:val="false"/>
                <w:color w:val="000000"/>
                <w:sz w:val="9"/>
              </w:rPr>
              <w:t>(8)</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7,364</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Total Capital Expenditures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8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19,750</w:t>
            </w:r>
            <w:r>
              <w:rPr>
                <w:color w:val="000000"/>
              </w:rPr>
              <w:t>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207"/>
        <w:gridCol w:w="1142"/>
        <w:gridCol w:w="1142"/>
        <w:gridCol w:w="2042"/>
        <w:gridCol w:w="1789"/>
        <w:gridCol w:w="25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(1)</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Revenue from segments below the quantitative thresholds is attributable to Other Businesses and the Corporate Office, as described above. None of these operating segments meet the quantitative thresholds for determining reportable segments.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(2)</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The significant expense categories and amounts align with the segment-level information that is regularly provided to the chief operating decision maker (CODM).</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(3)</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(4)</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Excludes pension service cost, which is shown separately above. Excludes any payroll and related benefits costs captured in cost of revenue.</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(5)</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Management and operating services provided by Christopher J. Ourisman and his team of industry professionals.</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(6)</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Other segment items for each reportable segment include: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(a)</w:t>
            </w:r>
          </w:p>
        </w:tc>
        <w:tc>
          <w:tcPr>
            <w:tcW w:w="637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Education (includes Kaplan International, Kaplan Higher Education and Kaplan Supplemental Education) - training and employment expense, travel meals and entertainment expense, operating fees and other general and administrative (G&amp;A) expenses.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(b)</w:t>
            </w:r>
          </w:p>
        </w:tc>
        <w:tc>
          <w:tcPr>
            <w:tcW w:w="637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Television Broadcasting - other broadcast expenses, facilities expenses, third-party commission costs and other selling, general and administrative (SG&amp;A) expenses.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(c)</w:t>
            </w:r>
          </w:p>
        </w:tc>
        <w:tc>
          <w:tcPr>
            <w:tcW w:w="637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Healthcare - indirect costs (e.g. payroll and benefits expenses, G&amp;A expenses) and other SG&amp;A expenses.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(d)</w:t>
            </w:r>
          </w:p>
        </w:tc>
        <w:tc>
          <w:tcPr>
            <w:tcW w:w="637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Manufacturing - payroll and fringe benefits expense (SG&amp;A) and other SG&amp;A expenses.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(e)</w:t>
            </w:r>
          </w:p>
        </w:tc>
        <w:tc>
          <w:tcPr>
            <w:tcW w:w="637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Automotive - advertising and marketing expense and other G&amp;A expenses.</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(7)</w:t>
            </w:r>
          </w:p>
        </w:tc>
        <w:tc>
          <w:tcPr>
            <w:tcW w:w="9863" w:type="dxa"/>
            <w:gridSpan w:val="6"/>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Profit or loss from operating segments below the quantitative thresholds attributable to Other Businesses as described above. These operating segments did not meet any of the quantitative thresholds for determining reportable segments.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(8)</w:t>
            </w:r>
          </w:p>
        </w:tc>
        <w:tc>
          <w:tcPr>
            <w:tcW w:w="9863" w:type="dxa"/>
            <w:gridSpan w:val="6"/>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Capital Expenditures from operating segments below the quantitative thresholds are attributable to Other Businesses and the Corporate Office, as described above. None of these operating segments meet the quantitative thresholds for determining reportable segments.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Company’s education division segment information is as follows:</w:t>
      </w:r>
    </w:p>
    <w:tbl>
      <w:tblPr>
        <w:tblW w:w="10205" w:type="dxa"/>
        <w:jc w:val="left"/>
        <w:tblInd w:w="0" w:type="dxa"/>
        <w:tblLayout w:type="fixed"/>
        <w:tblCellMar>
          <w:top w:w="28" w:type="dxa"/>
          <w:left w:w="28" w:type="dxa"/>
          <w:bottom w:w="28" w:type="dxa"/>
          <w:right w:w="28" w:type="dxa"/>
        </w:tblCellMar>
      </w:tblPr>
      <w:tblGrid>
        <w:gridCol w:w="829"/>
        <w:gridCol w:w="607"/>
        <w:gridCol w:w="609"/>
        <w:gridCol w:w="205"/>
        <w:gridCol w:w="749"/>
        <w:gridCol w:w="123"/>
        <w:gridCol w:w="109"/>
        <w:gridCol w:w="109"/>
        <w:gridCol w:w="109"/>
        <w:gridCol w:w="200"/>
        <w:gridCol w:w="648"/>
        <w:gridCol w:w="120"/>
        <w:gridCol w:w="109"/>
        <w:gridCol w:w="109"/>
        <w:gridCol w:w="109"/>
        <w:gridCol w:w="240"/>
        <w:gridCol w:w="780"/>
        <w:gridCol w:w="147"/>
        <w:gridCol w:w="109"/>
        <w:gridCol w:w="109"/>
        <w:gridCol w:w="109"/>
        <w:gridCol w:w="246"/>
        <w:gridCol w:w="706"/>
        <w:gridCol w:w="148"/>
        <w:gridCol w:w="109"/>
        <w:gridCol w:w="109"/>
        <w:gridCol w:w="109"/>
        <w:gridCol w:w="309"/>
        <w:gridCol w:w="670"/>
        <w:gridCol w:w="187"/>
        <w:gridCol w:w="109"/>
        <w:gridCol w:w="109"/>
        <w:gridCol w:w="109"/>
        <w:gridCol w:w="188"/>
        <w:gridCol w:w="688"/>
        <w:gridCol w:w="171"/>
      </w:tblGrid>
      <w:tr>
        <w:trPr/>
        <w:tc>
          <w:tcPr>
            <w:tcW w:w="82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Three Months Ended June 30, 2026</w:t>
            </w:r>
          </w:p>
        </w:tc>
      </w:tr>
      <w:tr>
        <w:trPr/>
        <w:tc>
          <w:tcPr>
            <w:tcW w:w="204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(in thousands)</w:t>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Kaplan 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Higher Education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Supplemental Education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Kaplan 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Intersegment Elimination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Total Education</w:t>
            </w:r>
          </w:p>
        </w:tc>
      </w:tr>
      <w:tr>
        <w:trPr/>
        <w:tc>
          <w:tcPr>
            <w:tcW w:w="20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Operating Revenues</w:t>
            </w:r>
          </w:p>
        </w:tc>
        <w:tc>
          <w:tcPr>
            <w:tcW w:w="20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49"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252,375</w:t>
            </w:r>
            <w:r>
              <w:rPr>
                <w:color w:val="000000"/>
              </w:rPr>
              <w:t>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4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86,293</w:t>
            </w:r>
            <w:r>
              <w:rPr>
                <w:color w:val="000000"/>
              </w:rPr>
              <w:t>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80"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79,476</w:t>
            </w:r>
            <w:r>
              <w:rPr>
                <w:color w:val="000000"/>
              </w:rPr>
              <w:t> </w:t>
            </w:r>
          </w:p>
        </w:tc>
        <w:tc>
          <w:tcPr>
            <w:tcW w:w="14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284</w:t>
            </w:r>
            <w:r>
              <w:rPr>
                <w:color w:val="000000"/>
              </w:rPr>
              <w:t> </w:t>
            </w:r>
          </w:p>
        </w:tc>
        <w:tc>
          <w:tcPr>
            <w:tcW w:w="1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70"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4"/>
              </w:rPr>
            </w:pPr>
            <w:r>
              <w:rPr>
                <w:rFonts w:ascii="Arial;sans-serif" w:hAnsi="Arial;sans-serif"/>
                <w:b/>
                <w:color w:val="000000"/>
                <w:sz w:val="14"/>
              </w:rPr>
              <w:t>(620)</w:t>
            </w:r>
          </w:p>
        </w:tc>
        <w:tc>
          <w:tcPr>
            <w:tcW w:w="1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8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417,808</w:t>
            </w:r>
            <w:r>
              <w:rPr>
                <w:color w:val="000000"/>
              </w:rPr>
              <w:t> </w:t>
            </w:r>
          </w:p>
        </w:tc>
        <w:tc>
          <w:tcPr>
            <w:tcW w:w="1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i/>
                <w:color w:val="000000"/>
                <w:sz w:val="14"/>
              </w:rPr>
              <w:t xml:space="preserve">Less: Significant Expenses </w:t>
            </w:r>
            <w:r>
              <w:rPr>
                <w:rFonts w:ascii="Arial;sans-serif" w:hAnsi="Arial;sans-serif"/>
                <w:b w:val="false"/>
                <w:i/>
                <w:color w:val="000000"/>
                <w:sz w:val="9"/>
              </w:rPr>
              <w:t>(1)</w:t>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4"/>
              </w:rPr>
              <w:t xml:space="preserve">Cost of Revenue </w:t>
            </w:r>
            <w:r>
              <w:rPr>
                <w:rFonts w:ascii="Arial;sans-serif" w:hAnsi="Arial;sans-serif"/>
                <w:b w:val="false"/>
                <w:color w:val="000000"/>
                <w:sz w:val="9"/>
              </w:rPr>
              <w:t>(2)</w:t>
            </w:r>
          </w:p>
        </w:tc>
        <w:tc>
          <w:tcPr>
            <w:tcW w:w="95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85,092</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61,158</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13,220</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4"/>
              </w:rPr>
            </w:pPr>
            <w:r>
              <w:rPr>
                <w:rFonts w:ascii="Arial;sans-serif" w:hAnsi="Arial;sans-serif"/>
                <w:b/>
                <w:color w:val="000000"/>
                <w:sz w:val="14"/>
              </w:rPr>
              <w:t>(223)</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159,247</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5"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pPr>
            <w:r>
              <w:rPr>
                <w:rFonts w:ascii="Arial;sans-serif" w:hAnsi="Arial;sans-serif"/>
                <w:b w:val="false"/>
                <w:color w:val="000000"/>
                <w:sz w:val="14"/>
              </w:rPr>
              <w:t xml:space="preserve">Payroll and Fringe Benefits Expense </w:t>
            </w:r>
            <w:r>
              <w:rPr>
                <w:rFonts w:ascii="Arial;sans-serif" w:hAnsi="Arial;sans-serif"/>
                <w:b w:val="false"/>
                <w:color w:val="000000"/>
                <w:sz w:val="9"/>
              </w:rPr>
              <w:t>(3)</w:t>
            </w:r>
          </w:p>
        </w:tc>
        <w:tc>
          <w:tcPr>
            <w:tcW w:w="95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72,089</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3,962</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32,701</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5,101</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4"/>
              </w:rPr>
            </w:pPr>
            <w:r>
              <w:rPr>
                <w:rFonts w:ascii="Arial;sans-serif" w:hAnsi="Arial;sans-serif"/>
                <w:b/>
                <w:color w:val="000000"/>
                <w:sz w:val="14"/>
              </w:rPr>
              <w:t>(83)</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113,770</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Occupancy Expense</w:t>
            </w:r>
          </w:p>
        </w:tc>
        <w:tc>
          <w:tcPr>
            <w:tcW w:w="95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24,436</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159</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808</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363</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4"/>
              </w:rPr>
            </w:pPr>
            <w:r>
              <w:rPr>
                <w:rFonts w:ascii="Arial;sans-serif" w:hAnsi="Arial;sans-serif"/>
                <w:b/>
                <w:color w:val="000000"/>
                <w:sz w:val="14"/>
              </w:rPr>
              <w:t>(269)</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25,497</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04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Advertising and Marketing Expense</w:t>
            </w:r>
          </w:p>
        </w:tc>
        <w:tc>
          <w:tcPr>
            <w:tcW w:w="95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7,320</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1,919</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10,202</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128</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19,569</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4"/>
              </w:rPr>
              <w:t xml:space="preserve">Other Segment Items </w:t>
            </w:r>
            <w:r>
              <w:rPr>
                <w:rFonts w:ascii="Arial;sans-serif" w:hAnsi="Arial;sans-serif"/>
                <w:b w:val="false"/>
                <w:color w:val="000000"/>
                <w:sz w:val="9"/>
              </w:rPr>
              <w:t>(4)</w:t>
            </w:r>
          </w:p>
        </w:tc>
        <w:tc>
          <w:tcPr>
            <w:tcW w:w="95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25,914</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115</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11,243</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1,919</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4"/>
              </w:rPr>
            </w:pPr>
            <w:r>
              <w:rPr>
                <w:rFonts w:ascii="Arial;sans-serif" w:hAnsi="Arial;sans-serif"/>
                <w:b/>
                <w:color w:val="000000"/>
                <w:sz w:val="14"/>
              </w:rPr>
              <w:t>(316)</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38,875</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5"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rFonts w:ascii="Arial;sans-serif" w:hAnsi="Arial;sans-serif"/>
                <w:b/>
                <w:color w:val="000000"/>
                <w:sz w:val="14"/>
              </w:rPr>
            </w:pPr>
            <w:r>
              <w:rPr>
                <w:rFonts w:ascii="Arial;sans-serif" w:hAnsi="Arial;sans-serif"/>
                <w:b/>
                <w:color w:val="000000"/>
                <w:sz w:val="14"/>
              </w:rPr>
              <w:t>EBITDAP</w:t>
            </w:r>
          </w:p>
        </w:tc>
        <w:tc>
          <w:tcPr>
            <w:tcW w:w="20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49"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37,524</w:t>
            </w:r>
            <w:r>
              <w:rPr>
                <w:color w:val="000000"/>
              </w:rPr>
              <w:t>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4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18,980</w:t>
            </w:r>
            <w:r>
              <w:rPr>
                <w:color w:val="000000"/>
              </w:rPr>
              <w:t>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80"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11,302</w:t>
            </w:r>
            <w:r>
              <w:rPr>
                <w:color w:val="000000"/>
              </w:rPr>
              <w:t> </w:t>
            </w:r>
          </w:p>
        </w:tc>
        <w:tc>
          <w:tcPr>
            <w:tcW w:w="14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4"/>
              </w:rPr>
            </w:pPr>
            <w:r>
              <w:rPr>
                <w:rFonts w:ascii="Arial;sans-serif" w:hAnsi="Arial;sans-serif"/>
                <w:b/>
                <w:color w:val="000000"/>
                <w:sz w:val="14"/>
              </w:rPr>
              <w:t>(7,227)</w:t>
            </w:r>
          </w:p>
        </w:tc>
        <w:tc>
          <w:tcPr>
            <w:tcW w:w="1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70"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271</w:t>
            </w:r>
            <w:r>
              <w:rPr>
                <w:color w:val="000000"/>
              </w:rPr>
              <w:t> </w:t>
            </w:r>
          </w:p>
        </w:tc>
        <w:tc>
          <w:tcPr>
            <w:tcW w:w="1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8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60,850</w:t>
            </w:r>
            <w:r>
              <w:rPr>
                <w:color w:val="000000"/>
              </w:rPr>
              <w:t> </w:t>
            </w:r>
          </w:p>
        </w:tc>
        <w:tc>
          <w:tcPr>
            <w:tcW w:w="1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Pension Service Cost</w:t>
            </w:r>
          </w:p>
        </w:tc>
        <w:tc>
          <w:tcPr>
            <w:tcW w:w="95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50</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2,032</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2,060</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530</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4,672</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Depreciation Expense</w:t>
            </w:r>
          </w:p>
        </w:tc>
        <w:tc>
          <w:tcPr>
            <w:tcW w:w="95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4,611</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300</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738</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10</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5,659</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04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Income (Loss) from Operations before Amortization of Intangible Assets</w:t>
            </w:r>
          </w:p>
        </w:tc>
        <w:tc>
          <w:tcPr>
            <w:tcW w:w="20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49"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32,863</w:t>
            </w:r>
            <w:r>
              <w:rPr>
                <w:color w:val="000000"/>
              </w:rPr>
              <w:t>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4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16,648</w:t>
            </w:r>
            <w:r>
              <w:rPr>
                <w:color w:val="000000"/>
              </w:rPr>
              <w:t>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80"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8,504</w:t>
            </w:r>
            <w:r>
              <w:rPr>
                <w:color w:val="000000"/>
              </w:rPr>
              <w:t> </w:t>
            </w:r>
          </w:p>
        </w:tc>
        <w:tc>
          <w:tcPr>
            <w:tcW w:w="14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4"/>
              </w:rPr>
            </w:pPr>
            <w:r>
              <w:rPr>
                <w:rFonts w:ascii="Arial;sans-serif" w:hAnsi="Arial;sans-serif"/>
                <w:b/>
                <w:color w:val="000000"/>
                <w:sz w:val="14"/>
              </w:rPr>
              <w:t>(7,767)</w:t>
            </w:r>
          </w:p>
        </w:tc>
        <w:tc>
          <w:tcPr>
            <w:tcW w:w="1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70"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271</w:t>
            </w:r>
            <w:r>
              <w:rPr>
                <w:color w:val="000000"/>
              </w:rPr>
              <w:t> </w:t>
            </w:r>
          </w:p>
        </w:tc>
        <w:tc>
          <w:tcPr>
            <w:tcW w:w="1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8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50,519</w:t>
            </w:r>
            <w:r>
              <w:rPr>
                <w:color w:val="000000"/>
              </w:rPr>
              <w:t> </w:t>
            </w:r>
          </w:p>
        </w:tc>
        <w:tc>
          <w:tcPr>
            <w:tcW w:w="1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04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Capital Expenditures</w:t>
            </w:r>
          </w:p>
        </w:tc>
        <w:tc>
          <w:tcPr>
            <w:tcW w:w="205"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49"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2,940</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48"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601</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80"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457</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06"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5</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88"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4,003</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5"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493"/>
        <w:gridCol w:w="1493"/>
        <w:gridCol w:w="1493"/>
        <w:gridCol w:w="1723"/>
        <w:gridCol w:w="1493"/>
        <w:gridCol w:w="21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The significant expense categories and amounts align with the segment-level information that is regularly provided to the CODM.</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(3)</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Excludes pension service cost, which is shown separately above. Excludes any payroll and related benefits costs captured in cost of revenue.</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(4)</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Other segment items for each reportable segment include: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(a)</w:t>
            </w:r>
          </w:p>
        </w:tc>
        <w:tc>
          <w:tcPr>
            <w:tcW w:w="53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Kaplan international - travel meals and entertainment expense, training and employment expense, operating fees and other G&amp;A expenses.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(b)</w:t>
            </w:r>
          </w:p>
        </w:tc>
        <w:tc>
          <w:tcPr>
            <w:tcW w:w="53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Higher education - training and employment expense, operating fees and other G&amp;A expenses.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(c)</w:t>
            </w:r>
          </w:p>
        </w:tc>
        <w:tc>
          <w:tcPr>
            <w:tcW w:w="53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Supplemental education - training and employment expense, operating fees and other G&amp;A expenses.</w:t>
            </w:r>
          </w:p>
        </w:tc>
      </w:tr>
    </w:tbl>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Company’s healthcare division segment information is as follows:</w:t>
      </w:r>
    </w:p>
    <w:tbl>
      <w:tblPr>
        <w:tblW w:w="8324" w:type="dxa"/>
        <w:jc w:val="left"/>
        <w:tblInd w:w="0" w:type="dxa"/>
        <w:tblLayout w:type="fixed"/>
        <w:tblCellMar>
          <w:top w:w="28" w:type="dxa"/>
          <w:left w:w="28" w:type="dxa"/>
          <w:bottom w:w="28" w:type="dxa"/>
          <w:right w:w="28" w:type="dxa"/>
        </w:tblCellMar>
      </w:tblPr>
      <w:tblGrid>
        <w:gridCol w:w="1563"/>
        <w:gridCol w:w="1376"/>
        <w:gridCol w:w="1380"/>
        <w:gridCol w:w="181"/>
        <w:gridCol w:w="661"/>
        <w:gridCol w:w="109"/>
        <w:gridCol w:w="109"/>
        <w:gridCol w:w="109"/>
        <w:gridCol w:w="109"/>
        <w:gridCol w:w="248"/>
        <w:gridCol w:w="803"/>
        <w:gridCol w:w="149"/>
        <w:gridCol w:w="109"/>
        <w:gridCol w:w="109"/>
        <w:gridCol w:w="109"/>
        <w:gridCol w:w="218"/>
        <w:gridCol w:w="797"/>
        <w:gridCol w:w="185"/>
      </w:tblGrid>
      <w:tr>
        <w:trPr/>
        <w:tc>
          <w:tcPr>
            <w:tcW w:w="15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15"/>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Three Months Ended June 30, 2026</w:t>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(in thousands)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CSI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Other Healthcare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Total Healthcare</w:t>
            </w:r>
          </w:p>
        </w:tc>
      </w:tr>
      <w:tr>
        <w:trPr/>
        <w:tc>
          <w:tcPr>
            <w:tcW w:w="4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Operating Revenues</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148,523</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803"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99,128</w:t>
            </w:r>
            <w:r>
              <w:rPr>
                <w:color w:val="000000"/>
              </w:rPr>
              <w:t> </w:t>
            </w:r>
          </w:p>
        </w:tc>
        <w:tc>
          <w:tcPr>
            <w:tcW w:w="1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9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247,651</w:t>
            </w:r>
            <w:r>
              <w:rPr>
                <w:color w:val="000000"/>
              </w:rPr>
              <w:t>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i/>
                <w:color w:val="000000"/>
                <w:sz w:val="14"/>
              </w:rPr>
              <w:t xml:space="preserve">Less: Significant Expenses </w:t>
            </w:r>
            <w:r>
              <w:rPr>
                <w:rFonts w:ascii="Arial;sans-serif" w:hAnsi="Arial;sans-serif"/>
                <w:b w:val="false"/>
                <w:i/>
                <w:color w:val="000000"/>
                <w:sz w:val="9"/>
              </w:rPr>
              <w:t>(1)</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4"/>
              </w:rPr>
              <w:t xml:space="preserve">Cost of Revenue </w:t>
            </w:r>
            <w:r>
              <w:rPr>
                <w:rFonts w:ascii="Arial;sans-serif" w:hAnsi="Arial;sans-serif"/>
                <w:b w:val="false"/>
                <w:color w:val="000000"/>
                <w:sz w:val="9"/>
              </w:rPr>
              <w:t>(2)</w:t>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115,040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47,456</w:t>
            </w: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162,496</w:t>
            </w: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4"/>
              </w:rPr>
              <w:t xml:space="preserve">Other Segment Items </w:t>
            </w:r>
            <w:r>
              <w:rPr>
                <w:rFonts w:ascii="Arial;sans-serif" w:hAnsi="Arial;sans-serif"/>
                <w:b w:val="false"/>
                <w:color w:val="000000"/>
                <w:sz w:val="9"/>
              </w:rPr>
              <w:t>(3)</w:t>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20,664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36,235</w:t>
            </w: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56,899</w:t>
            </w: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rFonts w:ascii="Arial;sans-serif" w:hAnsi="Arial;sans-serif"/>
                <w:b/>
                <w:color w:val="000000"/>
                <w:sz w:val="14"/>
              </w:rPr>
            </w:pPr>
            <w:r>
              <w:rPr>
                <w:rFonts w:ascii="Arial;sans-serif" w:hAnsi="Arial;sans-serif"/>
                <w:b/>
                <w:color w:val="000000"/>
                <w:sz w:val="14"/>
              </w:rPr>
              <w:t>EBITDAP</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12,819</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803"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15,437</w:t>
            </w:r>
            <w:r>
              <w:rPr>
                <w:color w:val="000000"/>
              </w:rPr>
              <w:t> </w:t>
            </w:r>
          </w:p>
        </w:tc>
        <w:tc>
          <w:tcPr>
            <w:tcW w:w="1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9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28,256</w:t>
            </w:r>
            <w:r>
              <w:rPr>
                <w:color w:val="000000"/>
              </w:rPr>
              <w:t>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Pension Service Cost</w:t>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1,643</w:t>
            </w: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1,643</w:t>
            </w: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Depreciation Expense</w:t>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301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1,612</w:t>
            </w: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1,913</w:t>
            </w: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Income from Operations before Amortization of Intangible Assets</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12,518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803"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12,182</w:t>
            </w:r>
            <w:r>
              <w:rPr>
                <w:color w:val="000000"/>
              </w:rPr>
              <w:t> </w:t>
            </w:r>
          </w:p>
        </w:tc>
        <w:tc>
          <w:tcPr>
            <w:tcW w:w="1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9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24,700</w:t>
            </w:r>
            <w:r>
              <w:rPr>
                <w:color w:val="000000"/>
              </w:rPr>
              <w:t>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Capital Expenditures</w:t>
            </w:r>
          </w:p>
        </w:tc>
        <w:tc>
          <w:tcPr>
            <w:tcW w:w="18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1,220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803"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2,348</w:t>
            </w: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97"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3,568</w:t>
            </w: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529"/>
        <w:gridCol w:w="1529"/>
        <w:gridCol w:w="1529"/>
        <w:gridCol w:w="1529"/>
        <w:gridCol w:w="1529"/>
        <w:gridCol w:w="22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The significant expense categories and amounts align with the segment-level information that is regularly provided to the CODM.</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Cost of revenue reflects the amounts reported and provided to the CODM and does not necessarily reconcile to the Company's Consolidated Statement of Operations. Cost of revenue excludes charges related to depreciation, which is shown separately.</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(3)</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Other segment items for CSI include indirect costs (e.g. payroll and benefits expenses, G&amp;A expenses) and other SG&amp;A expenses.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Company’s segment information is as follows:</w:t>
      </w:r>
    </w:p>
    <w:tbl>
      <w:tblPr>
        <w:tblW w:w="10205" w:type="dxa"/>
        <w:jc w:val="left"/>
        <w:tblInd w:w="0" w:type="dxa"/>
        <w:tblLayout w:type="fixed"/>
        <w:tblCellMar>
          <w:top w:w="28" w:type="dxa"/>
          <w:left w:w="28" w:type="dxa"/>
          <w:bottom w:w="28" w:type="dxa"/>
          <w:right w:w="28" w:type="dxa"/>
        </w:tblCellMar>
      </w:tblPr>
      <w:tblGrid>
        <w:gridCol w:w="989"/>
        <w:gridCol w:w="706"/>
        <w:gridCol w:w="710"/>
        <w:gridCol w:w="181"/>
        <w:gridCol w:w="646"/>
        <w:gridCol w:w="109"/>
        <w:gridCol w:w="109"/>
        <w:gridCol w:w="109"/>
        <w:gridCol w:w="109"/>
        <w:gridCol w:w="237"/>
        <w:gridCol w:w="850"/>
        <w:gridCol w:w="145"/>
        <w:gridCol w:w="109"/>
        <w:gridCol w:w="109"/>
        <w:gridCol w:w="109"/>
        <w:gridCol w:w="181"/>
        <w:gridCol w:w="646"/>
        <w:gridCol w:w="109"/>
        <w:gridCol w:w="109"/>
        <w:gridCol w:w="109"/>
        <w:gridCol w:w="109"/>
        <w:gridCol w:w="211"/>
        <w:gridCol w:w="667"/>
        <w:gridCol w:w="128"/>
        <w:gridCol w:w="109"/>
        <w:gridCol w:w="109"/>
        <w:gridCol w:w="109"/>
        <w:gridCol w:w="181"/>
        <w:gridCol w:w="646"/>
        <w:gridCol w:w="109"/>
        <w:gridCol w:w="109"/>
        <w:gridCol w:w="109"/>
        <w:gridCol w:w="109"/>
        <w:gridCol w:w="183"/>
        <w:gridCol w:w="777"/>
        <w:gridCol w:w="159"/>
      </w:tblGrid>
      <w:tr>
        <w:trPr/>
        <w:tc>
          <w:tcPr>
            <w:tcW w:w="98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Three Months Ended June 30, 2025</w:t>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(in thousands)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Education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Television Broadcasting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Healthcare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Manufacturing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Automotive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Total Segments</w:t>
            </w:r>
          </w:p>
        </w:tc>
      </w:tr>
      <w:tr>
        <w:trPr/>
        <w:tc>
          <w:tcPr>
            <w:tcW w:w="24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Operating Revenues</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436,813 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8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105,984 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202,219 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96,218 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285,572 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1,126,806 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i/>
                <w:color w:val="000000"/>
                <w:sz w:val="14"/>
              </w:rPr>
            </w:pPr>
            <w:r>
              <w:rPr>
                <w:rFonts w:ascii="Arial;sans-serif" w:hAnsi="Arial;sans-serif"/>
                <w:b w:val="false"/>
                <w:i/>
                <w:color w:val="000000"/>
                <w:sz w:val="14"/>
              </w:rPr>
              <w:t>Reconciliation of Revenue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pPr>
            <w:r>
              <w:rPr>
                <w:rFonts w:ascii="Arial;sans-serif" w:hAnsi="Arial;sans-serif"/>
                <w:b w:val="false"/>
                <w:color w:val="000000"/>
                <w:sz w:val="14"/>
              </w:rPr>
              <w:t xml:space="preserve">Other Businesses and Corporate Office Revenues </w:t>
            </w:r>
            <w:r>
              <w:rPr>
                <w:rFonts w:ascii="Arial;sans-serif" w:hAnsi="Arial;sans-serif"/>
                <w:b w:val="false"/>
                <w:color w:val="000000"/>
                <w:sz w:val="9"/>
              </w:rPr>
              <w:t>(1)</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89,591 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Intersegment Elimination</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(625)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Total Consolidated 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1,215,772 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i/>
                <w:color w:val="000000"/>
                <w:sz w:val="14"/>
              </w:rPr>
              <w:t xml:space="preserve">Less: Significant Expenses </w:t>
            </w:r>
            <w:r>
              <w:rPr>
                <w:rFonts w:ascii="Arial;sans-serif" w:hAnsi="Arial;sans-serif"/>
                <w:b w:val="false"/>
                <w:i/>
                <w:color w:val="000000"/>
                <w:sz w:val="9"/>
              </w:rPr>
              <w:t>(2)</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4"/>
              </w:rPr>
              <w:t xml:space="preserve">Cost of Revenue </w:t>
            </w:r>
            <w:r>
              <w:rPr>
                <w:rFonts w:ascii="Arial;sans-serif" w:hAnsi="Arial;sans-serif"/>
                <w:b w:val="false"/>
                <w:color w:val="000000"/>
                <w:sz w:val="9"/>
              </w:rPr>
              <w:t>(3)</w:t>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159,017 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121,952 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65,368 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241,639 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587,976 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pPr>
            <w:r>
              <w:rPr>
                <w:rFonts w:ascii="Arial;sans-serif" w:hAnsi="Arial;sans-serif"/>
                <w:b w:val="false"/>
                <w:color w:val="000000"/>
                <w:sz w:val="14"/>
              </w:rPr>
              <w:t xml:space="preserve">Payroll and Fringe Benefits Expense </w:t>
            </w:r>
            <w:r>
              <w:rPr>
                <w:rFonts w:ascii="Arial;sans-serif" w:hAnsi="Arial;sans-serif"/>
                <w:b w:val="false"/>
                <w:color w:val="000000"/>
                <w:sz w:val="9"/>
              </w:rPr>
              <w:t>(4)</w:t>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120,627 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26,818 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19,627 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167,072 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Occupancy Expense</w:t>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29,024 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1,857 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30,881 </w:t>
            </w:r>
          </w:p>
        </w:tc>
        <w:tc>
          <w:tcPr>
            <w:tcW w:w="15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Advertising and Marketing Expense</w:t>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21,191 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21,191 </w:t>
            </w:r>
          </w:p>
        </w:tc>
        <w:tc>
          <w:tcPr>
            <w:tcW w:w="15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Networking and Programming Expense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31,207 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31,207 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4"/>
              </w:rPr>
              <w:t xml:space="preserve">Management Services </w:t>
            </w:r>
            <w:r>
              <w:rPr>
                <w:rFonts w:ascii="Arial;sans-serif" w:hAnsi="Arial;sans-serif"/>
                <w:b w:val="false"/>
                <w:color w:val="000000"/>
                <w:sz w:val="9"/>
              </w:rPr>
              <w:t>(5)</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2,059 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2,059 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4"/>
              </w:rPr>
              <w:t xml:space="preserve">Other Segment Items </w:t>
            </w:r>
            <w:r>
              <w:rPr>
                <w:rFonts w:ascii="Arial;sans-serif" w:hAnsi="Arial;sans-serif"/>
                <w:b w:val="false"/>
                <w:color w:val="000000"/>
                <w:sz w:val="9"/>
              </w:rPr>
              <w:t>(6)</w:t>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47,245 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14,502 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51,337 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17,545 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9,363 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139,992 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64" w:before="0" w:after="0"/>
              <w:ind w:left="0" w:right="0" w:hanging="90"/>
              <w:jc w:val="left"/>
              <w:rPr>
                <w:rFonts w:ascii="Arial;sans-serif" w:hAnsi="Arial;sans-serif"/>
                <w:b/>
                <w:color w:val="000000"/>
                <w:sz w:val="14"/>
              </w:rPr>
            </w:pPr>
            <w:r>
              <w:rPr>
                <w:rFonts w:ascii="Arial;sans-serif" w:hAnsi="Arial;sans-serif"/>
                <w:b/>
                <w:color w:val="000000"/>
                <w:sz w:val="14"/>
              </w:rPr>
              <w:t>EBITDAP</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59,709 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850"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33,457 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28,930 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6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13,305 </w:t>
            </w:r>
          </w:p>
        </w:tc>
        <w:tc>
          <w:tcPr>
            <w:tcW w:w="1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11,027 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146,428 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Pension Service Cost</w:t>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4,413 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1,532 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1,993 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654 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8,613 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Depreciation Expense</w:t>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7,412 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2,625 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2,654 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1,708 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16,122 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Income from Operations before Amortization of Intangible Assets</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47,884 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850"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29,300 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25,214 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6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9,997 </w:t>
            </w:r>
          </w:p>
        </w:tc>
        <w:tc>
          <w:tcPr>
            <w:tcW w:w="1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9,298 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121,693 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pPr>
            <w:r>
              <w:rPr>
                <w:rFonts w:ascii="Arial;sans-serif" w:hAnsi="Arial;sans-serif"/>
                <w:b/>
                <w:color w:val="000000"/>
                <w:sz w:val="14"/>
              </w:rPr>
              <w:t xml:space="preserve">Other Businesses </w:t>
            </w:r>
            <w:r>
              <w:rPr>
                <w:rFonts w:ascii="Arial;sans-serif" w:hAnsi="Arial;sans-serif"/>
                <w:b/>
                <w:color w:val="000000"/>
                <w:sz w:val="9"/>
              </w:rPr>
              <w:t>(7)</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(25,666)</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Corporate Costs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(16,035)</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Amortization of Intangible Assets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(7,241)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Income from Operations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72,751 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Equity in Earnings of Affiliates, Net</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3,114 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Interest Expense, Net</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(15,845)</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Non-Operating Pension and Postretirement Benefit Income, Net</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28,602 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Loss on Marketable Equity Securities, Net</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(11,543)</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Other Expense, Net</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(16,456)</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Income Before Income Taxes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60,623 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Capital Expenditures</w:t>
            </w:r>
          </w:p>
        </w:tc>
        <w:tc>
          <w:tcPr>
            <w:tcW w:w="181"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5,376 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1,284 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4,449 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2,686 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15,287 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i/>
                <w:color w:val="000000"/>
                <w:sz w:val="14"/>
              </w:rPr>
            </w:pPr>
            <w:r>
              <w:rPr>
                <w:rFonts w:ascii="Arial;sans-serif" w:hAnsi="Arial;sans-serif"/>
                <w:b w:val="false"/>
                <w:i/>
                <w:color w:val="000000"/>
                <w:sz w:val="14"/>
              </w:rPr>
              <w:t>Reconciliation of Capital Expenditures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pPr>
            <w:r>
              <w:rPr>
                <w:rFonts w:ascii="Arial;sans-serif" w:hAnsi="Arial;sans-serif"/>
                <w:b w:val="false"/>
                <w:color w:val="000000"/>
                <w:sz w:val="14"/>
              </w:rPr>
              <w:t xml:space="preserve">Other Businesses and Corporate Office Capital Expenditures </w:t>
            </w:r>
            <w:r>
              <w:rPr>
                <w:rFonts w:ascii="Arial;sans-serif" w:hAnsi="Arial;sans-serif"/>
                <w:b w:val="false"/>
                <w:color w:val="000000"/>
                <w:sz w:val="9"/>
              </w:rPr>
              <w:t>(8)</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4,533 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Total Capital Expenditures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19,820 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290"/>
        <w:gridCol w:w="1230"/>
        <w:gridCol w:w="1230"/>
        <w:gridCol w:w="1953"/>
        <w:gridCol w:w="1719"/>
        <w:gridCol w:w="24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(1)</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Revenue from segments below the quantitative thresholds is attributable to Other Businesses and the Corporate Office, as described above. None of these operating segments meet the quantitative thresholds for determining reportable segments.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(2)</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The significant expense categories and amounts align with the segment-level information that is regularly provided to the CODM.</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(3)</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(4)</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Excludes pension service cost, which is shown separately above. Excludes any payroll and related benefits costs captured in cost of revenue.</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(5)</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Management and operating services provided by Christopher J. Ourisman and his team of industry professionals.</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(6)</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Other segment items for each reportable segment include: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(a)</w:t>
            </w:r>
          </w:p>
        </w:tc>
        <w:tc>
          <w:tcPr>
            <w:tcW w:w="611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Education (includes Kaplan International, Kaplan Higher Education and Kaplan Supplemental Education) - training and employment expense, travel meals and entertainment expense, operating fees and other G&amp;A expenses.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(b)</w:t>
            </w:r>
          </w:p>
        </w:tc>
        <w:tc>
          <w:tcPr>
            <w:tcW w:w="611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Television Broadcasting - other broadcast expenses, facilities expenses, third-party commission costs and other SG&amp;A expenses.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(c)</w:t>
            </w:r>
          </w:p>
        </w:tc>
        <w:tc>
          <w:tcPr>
            <w:tcW w:w="611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Healthcare - indirect costs (e.g. payroll and benefits expenses, G&amp;A expenses) and other SG&amp;A expenses.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(d)</w:t>
            </w:r>
          </w:p>
        </w:tc>
        <w:tc>
          <w:tcPr>
            <w:tcW w:w="611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Manufacturing - payroll and fringe benefits expense (SG&amp;A) and other SG&amp;A expenses.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(e)</w:t>
            </w:r>
          </w:p>
        </w:tc>
        <w:tc>
          <w:tcPr>
            <w:tcW w:w="611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Automotive - advertising and marketing expense and other G&amp;A expenses.</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(7)</w:t>
            </w:r>
          </w:p>
        </w:tc>
        <w:tc>
          <w:tcPr>
            <w:tcW w:w="9863" w:type="dxa"/>
            <w:gridSpan w:val="6"/>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Profit or loss from operating segments below the quantitative thresholds attributable to Other Businesses as described above. These operating segments did not meet any of the quantitative thresholds for determining reportable segments.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(8)</w:t>
            </w:r>
          </w:p>
        </w:tc>
        <w:tc>
          <w:tcPr>
            <w:tcW w:w="9863" w:type="dxa"/>
            <w:gridSpan w:val="6"/>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Capital Expenditures from operating segments below the quantitative thresholds are attributable to Other Businesses and the Corporate Office, as described above. None of these operating segments meet the quantitative thresholds for determining reportable segments.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Company’s education division segment information is as follows:</w:t>
      </w:r>
    </w:p>
    <w:tbl>
      <w:tblPr>
        <w:tblW w:w="10205" w:type="dxa"/>
        <w:jc w:val="left"/>
        <w:tblInd w:w="0" w:type="dxa"/>
        <w:tblLayout w:type="fixed"/>
        <w:tblCellMar>
          <w:top w:w="28" w:type="dxa"/>
          <w:left w:w="28" w:type="dxa"/>
          <w:bottom w:w="28" w:type="dxa"/>
          <w:right w:w="28" w:type="dxa"/>
        </w:tblCellMar>
      </w:tblPr>
      <w:tblGrid>
        <w:gridCol w:w="834"/>
        <w:gridCol w:w="613"/>
        <w:gridCol w:w="615"/>
        <w:gridCol w:w="206"/>
        <w:gridCol w:w="738"/>
        <w:gridCol w:w="124"/>
        <w:gridCol w:w="109"/>
        <w:gridCol w:w="109"/>
        <w:gridCol w:w="109"/>
        <w:gridCol w:w="201"/>
        <w:gridCol w:w="636"/>
        <w:gridCol w:w="121"/>
        <w:gridCol w:w="109"/>
        <w:gridCol w:w="109"/>
        <w:gridCol w:w="109"/>
        <w:gridCol w:w="245"/>
        <w:gridCol w:w="776"/>
        <w:gridCol w:w="148"/>
        <w:gridCol w:w="109"/>
        <w:gridCol w:w="109"/>
        <w:gridCol w:w="109"/>
        <w:gridCol w:w="247"/>
        <w:gridCol w:w="709"/>
        <w:gridCol w:w="149"/>
        <w:gridCol w:w="109"/>
        <w:gridCol w:w="109"/>
        <w:gridCol w:w="109"/>
        <w:gridCol w:w="318"/>
        <w:gridCol w:w="661"/>
        <w:gridCol w:w="191"/>
        <w:gridCol w:w="109"/>
        <w:gridCol w:w="109"/>
        <w:gridCol w:w="109"/>
        <w:gridCol w:w="189"/>
        <w:gridCol w:w="676"/>
        <w:gridCol w:w="173"/>
      </w:tblGrid>
      <w:tr>
        <w:trPr/>
        <w:tc>
          <w:tcPr>
            <w:tcW w:w="83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3" w:type="dxa"/>
            <w:gridSpan w:val="3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Three Months Ended June 30, 2025</w:t>
            </w:r>
          </w:p>
        </w:tc>
      </w:tr>
      <w:tr>
        <w:trPr/>
        <w:tc>
          <w:tcPr>
            <w:tcW w:w="206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(in thousands)</w:t>
            </w:r>
          </w:p>
        </w:tc>
        <w:tc>
          <w:tcPr>
            <w:tcW w:w="1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Kaplan 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Higher Education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Supplemental Education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Kaplan 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Intersegment Elimination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Total Education</w:t>
            </w:r>
          </w:p>
        </w:tc>
      </w:tr>
      <w:tr>
        <w:trPr/>
        <w:tc>
          <w:tcPr>
            <w:tcW w:w="20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Operating Revenues</w:t>
            </w:r>
          </w:p>
        </w:tc>
        <w:tc>
          <w:tcPr>
            <w:tcW w:w="20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3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272,171 </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3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84,738 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7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80,161 </w:t>
            </w:r>
          </w:p>
        </w:tc>
        <w:tc>
          <w:tcPr>
            <w:tcW w:w="1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09"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23 </w:t>
            </w:r>
          </w:p>
        </w:tc>
        <w:tc>
          <w:tcPr>
            <w:tcW w:w="1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(280)</w:t>
            </w:r>
          </w:p>
        </w:tc>
        <w:tc>
          <w:tcPr>
            <w:tcW w:w="1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7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436,813 </w:t>
            </w:r>
          </w:p>
        </w:tc>
        <w:tc>
          <w:tcPr>
            <w:tcW w:w="17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i/>
                <w:color w:val="000000"/>
                <w:sz w:val="14"/>
              </w:rPr>
              <w:t xml:space="preserve">Less: Significant Expenses </w:t>
            </w:r>
            <w:r>
              <w:rPr>
                <w:rFonts w:ascii="Arial;sans-serif" w:hAnsi="Arial;sans-serif"/>
                <w:b w:val="false"/>
                <w:i/>
                <w:color w:val="000000"/>
                <w:sz w:val="9"/>
              </w:rPr>
              <w:t>(1)</w:t>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4"/>
              </w:rPr>
              <w:t xml:space="preserve">Cost of Revenue </w:t>
            </w:r>
            <w:r>
              <w:rPr>
                <w:rFonts w:ascii="Arial;sans-serif" w:hAnsi="Arial;sans-serif"/>
                <w:b w:val="false"/>
                <w:color w:val="000000"/>
                <w:sz w:val="9"/>
              </w:rPr>
              <w:t>(2)</w:t>
            </w:r>
          </w:p>
        </w:tc>
        <w:tc>
          <w:tcPr>
            <w:tcW w:w="94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89,421 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56,721 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13,117 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(242)</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159,017 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pPr>
            <w:r>
              <w:rPr>
                <w:rFonts w:ascii="Arial;sans-serif" w:hAnsi="Arial;sans-serif"/>
                <w:b w:val="false"/>
                <w:color w:val="000000"/>
                <w:sz w:val="14"/>
              </w:rPr>
              <w:t xml:space="preserve">Payroll and Fringe Benefits Expense </w:t>
            </w:r>
            <w:r>
              <w:rPr>
                <w:rFonts w:ascii="Arial;sans-serif" w:hAnsi="Arial;sans-serif"/>
                <w:b w:val="false"/>
                <w:color w:val="000000"/>
                <w:sz w:val="9"/>
              </w:rPr>
              <w:t>(3)</w:t>
            </w:r>
          </w:p>
        </w:tc>
        <w:tc>
          <w:tcPr>
            <w:tcW w:w="94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76,656 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5,242 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33,345 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5,406 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(22)</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120,627 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Occupancy Expense</w:t>
            </w:r>
          </w:p>
        </w:tc>
        <w:tc>
          <w:tcPr>
            <w:tcW w:w="94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27,540 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184 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1,228 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72 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29,024 </w:t>
            </w:r>
          </w:p>
        </w:tc>
        <w:tc>
          <w:tcPr>
            <w:tcW w:w="173"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Advertising and Marketing Expense</w:t>
            </w:r>
          </w:p>
        </w:tc>
        <w:tc>
          <w:tcPr>
            <w:tcW w:w="94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8,758 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2,131 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10,180 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122 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21,191 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4"/>
              </w:rPr>
              <w:t xml:space="preserve">Other Segment Items </w:t>
            </w:r>
            <w:r>
              <w:rPr>
                <w:rFonts w:ascii="Arial;sans-serif" w:hAnsi="Arial;sans-serif"/>
                <w:b w:val="false"/>
                <w:color w:val="000000"/>
                <w:sz w:val="9"/>
              </w:rPr>
              <w:t>(4)</w:t>
            </w:r>
          </w:p>
        </w:tc>
        <w:tc>
          <w:tcPr>
            <w:tcW w:w="94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33,320 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216 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12,282 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1,428 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47,245 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rFonts w:ascii="Arial;sans-serif" w:hAnsi="Arial;sans-serif"/>
                <w:b/>
                <w:color w:val="000000"/>
                <w:sz w:val="14"/>
              </w:rPr>
            </w:pPr>
            <w:r>
              <w:rPr>
                <w:rFonts w:ascii="Arial;sans-serif" w:hAnsi="Arial;sans-serif"/>
                <w:b/>
                <w:color w:val="000000"/>
                <w:sz w:val="14"/>
              </w:rPr>
              <w:t>EBITDAP</w:t>
            </w:r>
          </w:p>
        </w:tc>
        <w:tc>
          <w:tcPr>
            <w:tcW w:w="20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3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36,476 </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3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20,244 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7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10,009 </w:t>
            </w:r>
          </w:p>
        </w:tc>
        <w:tc>
          <w:tcPr>
            <w:tcW w:w="1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09"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(7,005)</w:t>
            </w:r>
          </w:p>
        </w:tc>
        <w:tc>
          <w:tcPr>
            <w:tcW w:w="1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(15)</w:t>
            </w:r>
          </w:p>
        </w:tc>
        <w:tc>
          <w:tcPr>
            <w:tcW w:w="1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7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59,709 </w:t>
            </w:r>
          </w:p>
        </w:tc>
        <w:tc>
          <w:tcPr>
            <w:tcW w:w="17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Pension Service Cost</w:t>
            </w:r>
          </w:p>
        </w:tc>
        <w:tc>
          <w:tcPr>
            <w:tcW w:w="94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146 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1,889 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1,972 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406 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4,413 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Depreciation Expense</w:t>
            </w:r>
          </w:p>
        </w:tc>
        <w:tc>
          <w:tcPr>
            <w:tcW w:w="94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6,393 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383 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631 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7,412 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Income (Loss) from Operations before Amortization of Intangible Assets</w:t>
            </w:r>
          </w:p>
        </w:tc>
        <w:tc>
          <w:tcPr>
            <w:tcW w:w="20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3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29,937 </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3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17,972 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7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7,406 </w:t>
            </w:r>
          </w:p>
        </w:tc>
        <w:tc>
          <w:tcPr>
            <w:tcW w:w="1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09"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(7,416)</w:t>
            </w:r>
          </w:p>
        </w:tc>
        <w:tc>
          <w:tcPr>
            <w:tcW w:w="1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(15)</w:t>
            </w:r>
          </w:p>
        </w:tc>
        <w:tc>
          <w:tcPr>
            <w:tcW w:w="1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7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47,884 </w:t>
            </w:r>
          </w:p>
        </w:tc>
        <w:tc>
          <w:tcPr>
            <w:tcW w:w="17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Capital Expenditures</w:t>
            </w:r>
          </w:p>
        </w:tc>
        <w:tc>
          <w:tcPr>
            <w:tcW w:w="206"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38"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3,713 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3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492 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7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1,164 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09"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7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5,376 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493"/>
        <w:gridCol w:w="1493"/>
        <w:gridCol w:w="1493"/>
        <w:gridCol w:w="1723"/>
        <w:gridCol w:w="1493"/>
        <w:gridCol w:w="21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The significant expense categories and amounts align with the segment-level information that is regularly provided to the CODM.</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(3)</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Excludes pension service cost, which is shown separately above. Excludes any payroll and related benefits costs captured in cost of revenue.</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(4)</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Other segment items for each reportable segment include: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(a)</w:t>
            </w:r>
          </w:p>
        </w:tc>
        <w:tc>
          <w:tcPr>
            <w:tcW w:w="53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Kaplan international - travel meals and entertainment expense, training and employment expense, operating fees and other G&amp;A expenses.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(b)</w:t>
            </w:r>
          </w:p>
        </w:tc>
        <w:tc>
          <w:tcPr>
            <w:tcW w:w="53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Higher education - training and employment expense, operating fees and other G&amp;A expenses.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(c)</w:t>
            </w:r>
          </w:p>
        </w:tc>
        <w:tc>
          <w:tcPr>
            <w:tcW w:w="53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Supplemental education - training and employment expense, operating fees and other G&amp;A expenses.</w:t>
            </w:r>
          </w:p>
        </w:tc>
      </w:tr>
    </w:tbl>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Company’s healthcare division segment information is as follows:</w:t>
      </w:r>
    </w:p>
    <w:tbl>
      <w:tblPr>
        <w:tblW w:w="8308" w:type="dxa"/>
        <w:jc w:val="left"/>
        <w:tblInd w:w="0" w:type="dxa"/>
        <w:tblLayout w:type="fixed"/>
        <w:tblCellMar>
          <w:top w:w="28" w:type="dxa"/>
          <w:left w:w="28" w:type="dxa"/>
          <w:bottom w:w="28" w:type="dxa"/>
          <w:right w:w="28" w:type="dxa"/>
        </w:tblCellMar>
      </w:tblPr>
      <w:tblGrid>
        <w:gridCol w:w="1563"/>
        <w:gridCol w:w="1376"/>
        <w:gridCol w:w="1380"/>
        <w:gridCol w:w="181"/>
        <w:gridCol w:w="646"/>
        <w:gridCol w:w="109"/>
        <w:gridCol w:w="109"/>
        <w:gridCol w:w="109"/>
        <w:gridCol w:w="109"/>
        <w:gridCol w:w="252"/>
        <w:gridCol w:w="796"/>
        <w:gridCol w:w="152"/>
        <w:gridCol w:w="109"/>
        <w:gridCol w:w="109"/>
        <w:gridCol w:w="109"/>
        <w:gridCol w:w="221"/>
        <w:gridCol w:w="790"/>
        <w:gridCol w:w="188"/>
      </w:tblGrid>
      <w:tr>
        <w:trPr/>
        <w:tc>
          <w:tcPr>
            <w:tcW w:w="15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15"/>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Three Months Ended June 30, 2025</w:t>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(in thousands)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CSI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Other Healthcare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Total Healthcare</w:t>
            </w:r>
          </w:p>
        </w:tc>
      </w:tr>
      <w:tr>
        <w:trPr/>
        <w:tc>
          <w:tcPr>
            <w:tcW w:w="4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Operating Revenues</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113,415 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88,804 </w:t>
            </w:r>
          </w:p>
        </w:tc>
        <w:tc>
          <w:tcPr>
            <w:tcW w:w="1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90"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202,219 </w:t>
            </w:r>
          </w:p>
        </w:tc>
        <w:tc>
          <w:tcPr>
            <w:tcW w:w="18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i/>
                <w:color w:val="000000"/>
                <w:sz w:val="14"/>
              </w:rPr>
              <w:t xml:space="preserve">Less: Significant Expenses </w:t>
            </w:r>
            <w:r>
              <w:rPr>
                <w:rFonts w:ascii="Arial;sans-serif" w:hAnsi="Arial;sans-serif"/>
                <w:b w:val="false"/>
                <w:i/>
                <w:color w:val="000000"/>
                <w:sz w:val="9"/>
              </w:rPr>
              <w:t>(1)</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4"/>
              </w:rPr>
              <w:t xml:space="preserve">Cost of Revenue </w:t>
            </w:r>
            <w:r>
              <w:rPr>
                <w:rFonts w:ascii="Arial;sans-serif" w:hAnsi="Arial;sans-serif"/>
                <w:b w:val="false"/>
                <w:color w:val="000000"/>
                <w:sz w:val="9"/>
              </w:rPr>
              <w:t>(2)</w:t>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82,047 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39,905 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121,952 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4"/>
              </w:rPr>
              <w:t xml:space="preserve">Other Segment Items </w:t>
            </w:r>
            <w:r>
              <w:rPr>
                <w:rFonts w:ascii="Arial;sans-serif" w:hAnsi="Arial;sans-serif"/>
                <w:b w:val="false"/>
                <w:color w:val="000000"/>
                <w:sz w:val="9"/>
              </w:rPr>
              <w:t>(3)</w:t>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17,154 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34,183 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51,337 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rFonts w:ascii="Arial;sans-serif" w:hAnsi="Arial;sans-serif"/>
                <w:b/>
                <w:color w:val="000000"/>
                <w:sz w:val="14"/>
              </w:rPr>
            </w:pPr>
            <w:r>
              <w:rPr>
                <w:rFonts w:ascii="Arial;sans-serif" w:hAnsi="Arial;sans-serif"/>
                <w:b/>
                <w:color w:val="000000"/>
                <w:sz w:val="14"/>
              </w:rPr>
              <w:t>EBITDAP</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14,214 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14,716 </w:t>
            </w:r>
          </w:p>
        </w:tc>
        <w:tc>
          <w:tcPr>
            <w:tcW w:w="1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90"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28,930 </w:t>
            </w:r>
          </w:p>
        </w:tc>
        <w:tc>
          <w:tcPr>
            <w:tcW w:w="18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Pension Service Cost</w:t>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1,993 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1,993 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Depreciation Expense</w:t>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1,540 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1,723 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Income from Operations before Amortization of Intangible Assets</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14,031 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11,183 </w:t>
            </w:r>
          </w:p>
        </w:tc>
        <w:tc>
          <w:tcPr>
            <w:tcW w:w="1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90"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25,214 </w:t>
            </w:r>
          </w:p>
        </w:tc>
        <w:tc>
          <w:tcPr>
            <w:tcW w:w="18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Capital Expenditures</w:t>
            </w:r>
          </w:p>
        </w:tc>
        <w:tc>
          <w:tcPr>
            <w:tcW w:w="18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9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4,211 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90"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4,449 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529"/>
        <w:gridCol w:w="1529"/>
        <w:gridCol w:w="1529"/>
        <w:gridCol w:w="1529"/>
        <w:gridCol w:w="1529"/>
        <w:gridCol w:w="22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The significant expense categories and amounts align with the segment-level information that is regularly provided to the CODM.</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Cost of revenue reflects the amounts reported and provided to the CODM and does not necessarily reconcile to the Company's Consolidated Statement of Operations. Cost of revenue excludes charges related to depreciation, which is shown separately.</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(3)</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Other segment items for CSI include indirect costs (e.g. payroll and benefits expenses, G&amp;A expenses) and other SG&amp;A expenses.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Company’s segment information is as follows:</w:t>
      </w:r>
    </w:p>
    <w:tbl>
      <w:tblPr>
        <w:tblW w:w="10205" w:type="dxa"/>
        <w:jc w:val="left"/>
        <w:tblInd w:w="0" w:type="dxa"/>
        <w:tblLayout w:type="fixed"/>
        <w:tblCellMar>
          <w:top w:w="28" w:type="dxa"/>
          <w:left w:w="28" w:type="dxa"/>
          <w:bottom w:w="28" w:type="dxa"/>
          <w:right w:w="28" w:type="dxa"/>
        </w:tblCellMar>
      </w:tblPr>
      <w:tblGrid>
        <w:gridCol w:w="1064"/>
        <w:gridCol w:w="715"/>
        <w:gridCol w:w="718"/>
        <w:gridCol w:w="181"/>
        <w:gridCol w:w="661"/>
        <w:gridCol w:w="109"/>
        <w:gridCol w:w="109"/>
        <w:gridCol w:w="109"/>
        <w:gridCol w:w="109"/>
        <w:gridCol w:w="207"/>
        <w:gridCol w:w="758"/>
        <w:gridCol w:w="125"/>
        <w:gridCol w:w="109"/>
        <w:gridCol w:w="109"/>
        <w:gridCol w:w="109"/>
        <w:gridCol w:w="181"/>
        <w:gridCol w:w="661"/>
        <w:gridCol w:w="109"/>
        <w:gridCol w:w="109"/>
        <w:gridCol w:w="109"/>
        <w:gridCol w:w="109"/>
        <w:gridCol w:w="191"/>
        <w:gridCol w:w="699"/>
        <w:gridCol w:w="116"/>
        <w:gridCol w:w="109"/>
        <w:gridCol w:w="109"/>
        <w:gridCol w:w="109"/>
        <w:gridCol w:w="181"/>
        <w:gridCol w:w="661"/>
        <w:gridCol w:w="109"/>
        <w:gridCol w:w="109"/>
        <w:gridCol w:w="109"/>
        <w:gridCol w:w="109"/>
        <w:gridCol w:w="181"/>
        <w:gridCol w:w="784"/>
        <w:gridCol w:w="159"/>
      </w:tblGrid>
      <w:tr>
        <w:trPr/>
        <w:tc>
          <w:tcPr>
            <w:tcW w:w="106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8" w:type="dxa"/>
            <w:gridSpan w:val="3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Six Months Ended June 30, 2026</w:t>
            </w:r>
          </w:p>
        </w:tc>
      </w:tr>
      <w:tr>
        <w:trPr/>
        <w:tc>
          <w:tcPr>
            <w:tcW w:w="249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(in thousands)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Education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Television Broadcasting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Healthcare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Manufacturing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Automotive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Total Segments</w:t>
            </w:r>
          </w:p>
        </w:tc>
      </w:tr>
      <w:tr>
        <w:trPr/>
        <w:tc>
          <w:tcPr>
            <w:tcW w:w="24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Operating Revenues</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858,287</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5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221,183</w:t>
            </w:r>
            <w:r>
              <w:rPr>
                <w:color w:val="000000"/>
              </w:rPr>
              <w:t> </w:t>
            </w:r>
          </w:p>
        </w:tc>
        <w:tc>
          <w:tcPr>
            <w:tcW w:w="1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456,991</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99"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258,314</w:t>
            </w:r>
            <w:r>
              <w:rPr>
                <w:color w:val="000000"/>
              </w:rPr>
              <w:t>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568,976</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84"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2,363,751</w:t>
            </w:r>
            <w:r>
              <w:rPr>
                <w:color w:val="000000"/>
              </w:rPr>
              <w:t>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i/>
                <w:color w:val="000000"/>
                <w:sz w:val="14"/>
              </w:rPr>
            </w:pPr>
            <w:r>
              <w:rPr>
                <w:rFonts w:ascii="Arial;sans-serif" w:hAnsi="Arial;sans-serif"/>
                <w:b w:val="false"/>
                <w:i/>
                <w:color w:val="000000"/>
                <w:sz w:val="14"/>
              </w:rPr>
              <w:t>Reconciliation of Revenue</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pPr>
            <w:r>
              <w:rPr>
                <w:rFonts w:ascii="Arial;sans-serif" w:hAnsi="Arial;sans-serif"/>
                <w:b w:val="false"/>
                <w:color w:val="000000"/>
                <w:sz w:val="14"/>
              </w:rPr>
              <w:t xml:space="preserve">Other Businesses and Corporate Office Revenues </w:t>
            </w:r>
            <w:r>
              <w:rPr>
                <w:rFonts w:ascii="Arial;sans-serif" w:hAnsi="Arial;sans-serif"/>
                <w:b w:val="false"/>
                <w:color w:val="000000"/>
                <w:sz w:val="9"/>
              </w:rPr>
              <w:t>(1)</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176,161</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Intersegment Elimination</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4"/>
              </w:rPr>
            </w:pPr>
            <w:r>
              <w:rPr>
                <w:rFonts w:ascii="Arial;sans-serif" w:hAnsi="Arial;sans-serif"/>
                <w:b/>
                <w:color w:val="000000"/>
                <w:sz w:val="14"/>
              </w:rPr>
              <w:t>(1,414)</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Total Consolidated Revenues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84"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2,538,498</w:t>
            </w:r>
            <w:r>
              <w:rPr>
                <w:color w:val="000000"/>
              </w:rPr>
              <w:t>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i/>
                <w:color w:val="000000"/>
                <w:sz w:val="14"/>
              </w:rPr>
              <w:t xml:space="preserve">Less: Significant Expenses </w:t>
            </w:r>
            <w:r>
              <w:rPr>
                <w:rFonts w:ascii="Arial;sans-serif" w:hAnsi="Arial;sans-serif"/>
                <w:b w:val="false"/>
                <w:i/>
                <w:color w:val="000000"/>
                <w:sz w:val="9"/>
              </w:rPr>
              <w:t>(2)</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4"/>
              </w:rPr>
              <w:t xml:space="preserve">Cost of Revenue </w:t>
            </w:r>
            <w:r>
              <w:rPr>
                <w:rFonts w:ascii="Arial;sans-serif" w:hAnsi="Arial;sans-serif"/>
                <w:b w:val="false"/>
                <w:color w:val="000000"/>
                <w:sz w:val="9"/>
              </w:rPr>
              <w:t>(3)</w:t>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326,674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296,432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186,321</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481,699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1,291,126</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pPr>
            <w:r>
              <w:rPr>
                <w:rFonts w:ascii="Arial;sans-serif" w:hAnsi="Arial;sans-serif"/>
                <w:b w:val="false"/>
                <w:color w:val="000000"/>
                <w:sz w:val="14"/>
              </w:rPr>
              <w:t xml:space="preserve">Payroll and Fringe Benefits Expense </w:t>
            </w:r>
            <w:r>
              <w:rPr>
                <w:rFonts w:ascii="Arial;sans-serif" w:hAnsi="Arial;sans-serif"/>
                <w:b w:val="false"/>
                <w:color w:val="000000"/>
                <w:sz w:val="9"/>
              </w:rPr>
              <w:t>(4)</w:t>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231,427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55,030</w:t>
            </w: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41,078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327,535</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Occupancy Expense</w:t>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52,874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4,041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56,915</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Advertising and Marketing Expense</w:t>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38,998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38,998</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Networking and Programming Expense</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59,969</w:t>
            </w: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59,969</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4"/>
              </w:rPr>
              <w:t xml:space="preserve">Management Services </w:t>
            </w:r>
            <w:r>
              <w:rPr>
                <w:rFonts w:ascii="Arial;sans-serif" w:hAnsi="Arial;sans-serif"/>
                <w:b w:val="false"/>
                <w:color w:val="000000"/>
                <w:sz w:val="9"/>
              </w:rPr>
              <w:t>(5)</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4,617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4,617</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4"/>
              </w:rPr>
              <w:t xml:space="preserve">Other Segment Items </w:t>
            </w:r>
            <w:r>
              <w:rPr>
                <w:rFonts w:ascii="Arial;sans-serif" w:hAnsi="Arial;sans-serif"/>
                <w:b w:val="false"/>
                <w:color w:val="000000"/>
                <w:sz w:val="9"/>
              </w:rPr>
              <w:t>(6)</w:t>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85,246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31,250</w:t>
            </w: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110,981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40,749</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20,308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288,534</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shd w:fill="FFFFFF" w:val="clear"/>
            <w:tcMar>
              <w:top w:w="0" w:type="dxa"/>
              <w:left w:w="0" w:type="dxa"/>
              <w:bottom w:w="0" w:type="dxa"/>
              <w:right w:w="0" w:type="dxa"/>
            </w:tcMar>
            <w:vAlign w:val="center"/>
          </w:tcPr>
          <w:p>
            <w:pPr>
              <w:pStyle w:val="TableContents"/>
              <w:bidi w:val="0"/>
              <w:spacing w:lineRule="auto" w:line="264" w:before="0" w:after="0"/>
              <w:ind w:left="0" w:right="0" w:hanging="90"/>
              <w:jc w:val="left"/>
              <w:rPr>
                <w:rFonts w:ascii="Arial;sans-serif" w:hAnsi="Arial;sans-serif"/>
                <w:b/>
                <w:color w:val="000000"/>
                <w:sz w:val="14"/>
              </w:rPr>
            </w:pPr>
            <w:r>
              <w:rPr>
                <w:rFonts w:ascii="Arial;sans-serif" w:hAnsi="Arial;sans-serif"/>
                <w:b/>
                <w:color w:val="000000"/>
                <w:sz w:val="14"/>
              </w:rPr>
              <w:t>EBITDAP</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123,068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5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74,934</w:t>
            </w:r>
            <w:r>
              <w:rPr>
                <w:color w:val="000000"/>
              </w:rPr>
              <w:t> </w:t>
            </w:r>
          </w:p>
        </w:tc>
        <w:tc>
          <w:tcPr>
            <w:tcW w:w="1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49,578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99"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31,244</w:t>
            </w:r>
            <w:r>
              <w:rPr>
                <w:color w:val="000000"/>
              </w:rPr>
              <w:t>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17,233</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84"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296,057</w:t>
            </w:r>
            <w:r>
              <w:rPr>
                <w:color w:val="000000"/>
              </w:rPr>
              <w:t>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Pension Service Cost</w:t>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9,111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3,107</w:t>
            </w: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3,529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2,485</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68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18,300</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Depreciation Expense</w:t>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11,713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4,681</w:t>
            </w: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3,827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6,172</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3,782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30,175</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Income from Operations before Amortization of Intangible Assets and Impairment of Goodwill and Asset Group Held for Sale</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102,244</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5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67,146</w:t>
            </w:r>
            <w:r>
              <w:rPr>
                <w:color w:val="000000"/>
              </w:rPr>
              <w:t> </w:t>
            </w:r>
          </w:p>
        </w:tc>
        <w:tc>
          <w:tcPr>
            <w:tcW w:w="1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42,222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99"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22,587</w:t>
            </w:r>
            <w:r>
              <w:rPr>
                <w:color w:val="000000"/>
              </w:rPr>
              <w:t>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13,383</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84"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247,582</w:t>
            </w:r>
            <w:r>
              <w:rPr>
                <w:color w:val="000000"/>
              </w:rPr>
              <w:t>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pPr>
            <w:r>
              <w:rPr>
                <w:rFonts w:ascii="Arial;sans-serif" w:hAnsi="Arial;sans-serif"/>
                <w:b/>
                <w:color w:val="000000"/>
                <w:sz w:val="14"/>
              </w:rPr>
              <w:t xml:space="preserve">Other Businesses </w:t>
            </w:r>
            <w:r>
              <w:rPr>
                <w:rFonts w:ascii="Arial;sans-serif" w:hAnsi="Arial;sans-serif"/>
                <w:b/>
                <w:color w:val="000000"/>
                <w:sz w:val="9"/>
              </w:rPr>
              <w:t>(7)</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4"/>
              </w:rPr>
            </w:pPr>
            <w:r>
              <w:rPr>
                <w:rFonts w:ascii="Arial;sans-serif" w:hAnsi="Arial;sans-serif"/>
                <w:b/>
                <w:color w:val="000000"/>
                <w:sz w:val="14"/>
              </w:rPr>
              <w:t>(40,250)</w:t>
            </w:r>
          </w:p>
        </w:tc>
        <w:tc>
          <w:tcPr>
            <w:tcW w:w="15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Corporate Costs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4"/>
              </w:rPr>
            </w:pPr>
            <w:r>
              <w:rPr>
                <w:rFonts w:ascii="Arial;sans-serif" w:hAnsi="Arial;sans-serif"/>
                <w:b/>
                <w:color w:val="000000"/>
                <w:sz w:val="14"/>
              </w:rPr>
              <w:t>(34,803)</w:t>
            </w:r>
          </w:p>
        </w:tc>
        <w:tc>
          <w:tcPr>
            <w:tcW w:w="15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Amortization of Intangible Assets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4"/>
              </w:rPr>
            </w:pPr>
            <w:r>
              <w:rPr>
                <w:rFonts w:ascii="Arial;sans-serif" w:hAnsi="Arial;sans-serif"/>
                <w:b/>
                <w:color w:val="000000"/>
                <w:sz w:val="14"/>
              </w:rPr>
              <w:t>(12,033)</w:t>
            </w:r>
          </w:p>
        </w:tc>
        <w:tc>
          <w:tcPr>
            <w:tcW w:w="15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Impairment of Goodwill and Asset Group Held for Sale</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4"/>
              </w:rPr>
            </w:pPr>
            <w:r>
              <w:rPr>
                <w:rFonts w:ascii="Arial;sans-serif" w:hAnsi="Arial;sans-serif"/>
                <w:b/>
                <w:color w:val="000000"/>
                <w:sz w:val="14"/>
              </w:rPr>
              <w:t>(19,029)</w:t>
            </w:r>
          </w:p>
        </w:tc>
        <w:tc>
          <w:tcPr>
            <w:tcW w:w="15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Income from Operations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84"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141,467</w:t>
            </w:r>
            <w:r>
              <w:rPr>
                <w:color w:val="000000"/>
              </w:rPr>
              <w:t>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Equity in Earnings of Affiliates, Net</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14,987</w:t>
            </w:r>
            <w:r>
              <w:rPr>
                <w:color w:val="000000"/>
              </w:rPr>
              <w:t>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Interest Expense, Net</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4"/>
              </w:rPr>
            </w:pPr>
            <w:r>
              <w:rPr>
                <w:rFonts w:ascii="Arial;sans-serif" w:hAnsi="Arial;sans-serif"/>
                <w:b/>
                <w:color w:val="000000"/>
                <w:sz w:val="14"/>
              </w:rPr>
              <w:t>(29,046)</w:t>
            </w:r>
          </w:p>
        </w:tc>
        <w:tc>
          <w:tcPr>
            <w:tcW w:w="15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Non-Operating Pension and Postretirement Benefit Income, Net</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200,722</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Gain on Marketable Equity Securities, Net</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32,956</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Other Expense, Net</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4"/>
              </w:rPr>
            </w:pPr>
            <w:r>
              <w:rPr>
                <w:rFonts w:ascii="Arial;sans-serif" w:hAnsi="Arial;sans-serif"/>
                <w:b/>
                <w:color w:val="000000"/>
                <w:sz w:val="14"/>
              </w:rPr>
              <w:t>(2,959)</w:t>
            </w:r>
          </w:p>
        </w:tc>
        <w:tc>
          <w:tcPr>
            <w:tcW w:w="15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Income Before Income Taxes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84"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358,127</w:t>
            </w:r>
            <w:r>
              <w:rPr>
                <w:color w:val="000000"/>
              </w:rPr>
              <w:t>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Capital Expenditures</w:t>
            </w:r>
          </w:p>
        </w:tc>
        <w:tc>
          <w:tcPr>
            <w:tcW w:w="18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8,453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58"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4,694</w:t>
            </w: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5,733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99"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4,079</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6,799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84"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29,758</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i/>
                <w:color w:val="000000"/>
                <w:sz w:val="14"/>
              </w:rPr>
            </w:pPr>
            <w:r>
              <w:rPr>
                <w:rFonts w:ascii="Arial;sans-serif" w:hAnsi="Arial;sans-serif"/>
                <w:b w:val="false"/>
                <w:i/>
                <w:color w:val="000000"/>
                <w:sz w:val="14"/>
              </w:rPr>
              <w:t>Reconciliation of Capital Expenditures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pPr>
            <w:r>
              <w:rPr>
                <w:rFonts w:ascii="Arial;sans-serif" w:hAnsi="Arial;sans-serif"/>
                <w:b w:val="false"/>
                <w:color w:val="000000"/>
                <w:sz w:val="14"/>
              </w:rPr>
              <w:t xml:space="preserve">Other Businesses and Corporate Office Capital Expenditures </w:t>
            </w:r>
            <w:r>
              <w:rPr>
                <w:rFonts w:ascii="Arial;sans-serif" w:hAnsi="Arial;sans-serif"/>
                <w:b w:val="false"/>
                <w:color w:val="000000"/>
                <w:sz w:val="9"/>
              </w:rPr>
              <w:t>(8)</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10,861</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Total Capital Expenditures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8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40,619</w:t>
            </w:r>
            <w:r>
              <w:rPr>
                <w:color w:val="000000"/>
              </w:rPr>
              <w:t> </w:t>
            </w:r>
          </w:p>
        </w:tc>
        <w:tc>
          <w:tcPr>
            <w:tcW w:w="15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290"/>
        <w:gridCol w:w="1230"/>
        <w:gridCol w:w="1230"/>
        <w:gridCol w:w="1953"/>
        <w:gridCol w:w="1719"/>
        <w:gridCol w:w="24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(1)</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Revenue from segments below the quantitative thresholds is attributable to Other Businesses and the Corporate Office, as described above. None of these operating segments meet the quantitative thresholds for determining reportable segments.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(2)</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The significant expense categories and amounts align with the segment-level information that is regularly provided to the CODM.</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(3)</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(4)</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Excludes pension service cost, which is shown separately above. Excludes any payroll and related benefits costs captured in cost of revenue.</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(5)</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Management and operating services provided by Christopher J. Ourisman and his team of industry professionals.</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(6)</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Other segment items for each reportable segment include: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(a)</w:t>
            </w:r>
          </w:p>
        </w:tc>
        <w:tc>
          <w:tcPr>
            <w:tcW w:w="611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Education (includes Kaplan International, Kaplan Higher Education and Kaplan Supplemental Education) - training and employment expense, travel meals and entertainment expense, operating fees and other G&amp;A expenses.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(b)</w:t>
            </w:r>
          </w:p>
        </w:tc>
        <w:tc>
          <w:tcPr>
            <w:tcW w:w="611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Television Broadcasting - other broadcast expenses, facilities expenses, third-party commission costs and other SG&amp;A expenses.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(c)</w:t>
            </w:r>
          </w:p>
        </w:tc>
        <w:tc>
          <w:tcPr>
            <w:tcW w:w="611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Healthcare - indirect costs (e.g. payroll and benefits expenses, G&amp;A expenses) and other SG&amp;A expenses.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(d)</w:t>
            </w:r>
          </w:p>
        </w:tc>
        <w:tc>
          <w:tcPr>
            <w:tcW w:w="611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Manufacturing - payroll and fringe benefits expense (SG&amp;A) and other SG&amp;A expenses.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(e)</w:t>
            </w:r>
          </w:p>
        </w:tc>
        <w:tc>
          <w:tcPr>
            <w:tcW w:w="611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Automotive - advertising and marketing expense and other G&amp;A expenses.</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(7)</w:t>
            </w:r>
          </w:p>
        </w:tc>
        <w:tc>
          <w:tcPr>
            <w:tcW w:w="9863" w:type="dxa"/>
            <w:gridSpan w:val="6"/>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Profit or loss from operating segments below the quantitative thresholds attributable to Other Businesses as described above. These operating segments did not meet any of the quantitative thresholds for determining reportable segments.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(8)</w:t>
            </w:r>
          </w:p>
        </w:tc>
        <w:tc>
          <w:tcPr>
            <w:tcW w:w="9863" w:type="dxa"/>
            <w:gridSpan w:val="6"/>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Capital Expenditures from operating segments below the quantitative thresholds are attributable to Other Businesses and the Corporate Office, as described above. None of these operating segments meet the quantitative thresholds for determining reportable segments.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Company’s education division segment information is as follows:</w:t>
      </w:r>
    </w:p>
    <w:tbl>
      <w:tblPr>
        <w:tblW w:w="10205" w:type="dxa"/>
        <w:jc w:val="left"/>
        <w:tblInd w:w="0" w:type="dxa"/>
        <w:tblLayout w:type="fixed"/>
        <w:tblCellMar>
          <w:top w:w="28" w:type="dxa"/>
          <w:left w:w="28" w:type="dxa"/>
          <w:bottom w:w="28" w:type="dxa"/>
          <w:right w:w="28" w:type="dxa"/>
        </w:tblCellMar>
      </w:tblPr>
      <w:tblGrid>
        <w:gridCol w:w="934"/>
        <w:gridCol w:w="681"/>
        <w:gridCol w:w="683"/>
        <w:gridCol w:w="195"/>
        <w:gridCol w:w="715"/>
        <w:gridCol w:w="118"/>
        <w:gridCol w:w="109"/>
        <w:gridCol w:w="109"/>
        <w:gridCol w:w="109"/>
        <w:gridCol w:w="189"/>
        <w:gridCol w:w="691"/>
        <w:gridCol w:w="113"/>
        <w:gridCol w:w="109"/>
        <w:gridCol w:w="109"/>
        <w:gridCol w:w="109"/>
        <w:gridCol w:w="207"/>
        <w:gridCol w:w="761"/>
        <w:gridCol w:w="126"/>
        <w:gridCol w:w="109"/>
        <w:gridCol w:w="109"/>
        <w:gridCol w:w="109"/>
        <w:gridCol w:w="215"/>
        <w:gridCol w:w="697"/>
        <w:gridCol w:w="129"/>
        <w:gridCol w:w="109"/>
        <w:gridCol w:w="109"/>
        <w:gridCol w:w="109"/>
        <w:gridCol w:w="248"/>
        <w:gridCol w:w="683"/>
        <w:gridCol w:w="152"/>
        <w:gridCol w:w="109"/>
        <w:gridCol w:w="109"/>
        <w:gridCol w:w="109"/>
        <w:gridCol w:w="185"/>
        <w:gridCol w:w="678"/>
        <w:gridCol w:w="170"/>
      </w:tblGrid>
      <w:tr>
        <w:trPr/>
        <w:tc>
          <w:tcPr>
            <w:tcW w:w="93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7" w:type="dxa"/>
            <w:gridSpan w:val="3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Six Months Ended June 30, 2026</w:t>
            </w:r>
          </w:p>
        </w:tc>
      </w:tr>
      <w:tr>
        <w:trPr/>
        <w:tc>
          <w:tcPr>
            <w:tcW w:w="229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(in thousands)</w:t>
            </w:r>
          </w:p>
        </w:tc>
        <w:tc>
          <w:tcPr>
            <w:tcW w:w="10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Kaplan 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Higher Education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Supplemental Education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Kaplan 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Intersegment Elimination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Total Education</w:t>
            </w:r>
          </w:p>
        </w:tc>
      </w:tr>
      <w:tr>
        <w:trPr/>
        <w:tc>
          <w:tcPr>
            <w:tcW w:w="22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Operating Revenues</w:t>
            </w:r>
          </w:p>
        </w:tc>
        <w:tc>
          <w:tcPr>
            <w:tcW w:w="19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1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524,011</w:t>
            </w:r>
            <w:r>
              <w:rPr>
                <w:color w:val="000000"/>
              </w:rPr>
              <w:t>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9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178,696</w:t>
            </w:r>
            <w:r>
              <w:rPr>
                <w:color w:val="000000"/>
              </w:rPr>
              <w:t>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156,340</w:t>
            </w:r>
            <w:r>
              <w:rPr>
                <w:color w:val="000000"/>
              </w:rPr>
              <w:t> </w:t>
            </w:r>
          </w:p>
        </w:tc>
        <w:tc>
          <w:tcPr>
            <w:tcW w:w="1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9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555</w:t>
            </w:r>
            <w:r>
              <w:rPr>
                <w:color w:val="000000"/>
              </w:rPr>
              <w:t> </w:t>
            </w:r>
          </w:p>
        </w:tc>
        <w:tc>
          <w:tcPr>
            <w:tcW w:w="12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83"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4"/>
              </w:rPr>
            </w:pPr>
            <w:r>
              <w:rPr>
                <w:rFonts w:ascii="Arial;sans-serif" w:hAnsi="Arial;sans-serif"/>
                <w:b/>
                <w:color w:val="000000"/>
                <w:sz w:val="14"/>
              </w:rPr>
              <w:t>(1,315)</w:t>
            </w:r>
          </w:p>
        </w:tc>
        <w:tc>
          <w:tcPr>
            <w:tcW w:w="1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7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858,287</w:t>
            </w:r>
            <w:r>
              <w:rPr>
                <w:color w:val="000000"/>
              </w:rPr>
              <w:t> </w:t>
            </w:r>
          </w:p>
        </w:tc>
        <w:tc>
          <w:tcPr>
            <w:tcW w:w="1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i/>
                <w:color w:val="000000"/>
                <w:sz w:val="14"/>
              </w:rPr>
              <w:t xml:space="preserve">Less: Significant Expenses </w:t>
            </w:r>
            <w:r>
              <w:rPr>
                <w:rFonts w:ascii="Arial;sans-serif" w:hAnsi="Arial;sans-serif"/>
                <w:b w:val="false"/>
                <w:i/>
                <w:color w:val="000000"/>
                <w:sz w:val="9"/>
              </w:rPr>
              <w:t>(1)</w:t>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4"/>
              </w:rPr>
              <w:t xml:space="preserve">Cost of Revenue </w:t>
            </w:r>
            <w:r>
              <w:rPr>
                <w:rFonts w:ascii="Arial;sans-serif" w:hAnsi="Arial;sans-serif"/>
                <w:b w:val="false"/>
                <w:color w:val="000000"/>
                <w:sz w:val="9"/>
              </w:rPr>
              <w:t>(2)</w:t>
            </w:r>
          </w:p>
        </w:tc>
        <w:tc>
          <w:tcPr>
            <w:tcW w:w="91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175,093</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127,401</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24,742</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4"/>
              </w:rPr>
            </w:pPr>
            <w:r>
              <w:rPr>
                <w:rFonts w:ascii="Arial;sans-serif" w:hAnsi="Arial;sans-serif"/>
                <w:b/>
                <w:color w:val="000000"/>
                <w:sz w:val="14"/>
              </w:rPr>
              <w:t>(562)</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326,674</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pPr>
            <w:r>
              <w:rPr>
                <w:rFonts w:ascii="Arial;sans-serif" w:hAnsi="Arial;sans-serif"/>
                <w:b w:val="false"/>
                <w:color w:val="000000"/>
                <w:sz w:val="14"/>
              </w:rPr>
              <w:t xml:space="preserve">Payroll and Fringe Benefits Expense </w:t>
            </w:r>
            <w:r>
              <w:rPr>
                <w:rFonts w:ascii="Arial;sans-serif" w:hAnsi="Arial;sans-serif"/>
                <w:b w:val="false"/>
                <w:color w:val="000000"/>
                <w:sz w:val="9"/>
              </w:rPr>
              <w:t>(3)</w:t>
            </w:r>
          </w:p>
        </w:tc>
        <w:tc>
          <w:tcPr>
            <w:tcW w:w="91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148,481</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7,767</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65,733</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9,603</w:t>
            </w: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4"/>
              </w:rPr>
            </w:pPr>
            <w:r>
              <w:rPr>
                <w:rFonts w:ascii="Arial;sans-serif" w:hAnsi="Arial;sans-serif"/>
                <w:b/>
                <w:color w:val="000000"/>
                <w:sz w:val="14"/>
              </w:rPr>
              <w:t>(157)</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231,427</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Occupancy Expense</w:t>
            </w:r>
          </w:p>
        </w:tc>
        <w:tc>
          <w:tcPr>
            <w:tcW w:w="91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50,714</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317</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1,642</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737</w:t>
            </w: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4"/>
              </w:rPr>
            </w:pPr>
            <w:r>
              <w:rPr>
                <w:rFonts w:ascii="Arial;sans-serif" w:hAnsi="Arial;sans-serif"/>
                <w:b/>
                <w:color w:val="000000"/>
                <w:sz w:val="14"/>
              </w:rPr>
              <w:t>(536)</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52,874</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Advertising and Marketing Expense</w:t>
            </w:r>
          </w:p>
        </w:tc>
        <w:tc>
          <w:tcPr>
            <w:tcW w:w="91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15,519</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3,839</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19,419</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221</w:t>
            </w: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38,998</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4"/>
              </w:rPr>
              <w:t xml:space="preserve">Other Segment Items </w:t>
            </w:r>
            <w:r>
              <w:rPr>
                <w:rFonts w:ascii="Arial;sans-serif" w:hAnsi="Arial;sans-serif"/>
                <w:b w:val="false"/>
                <w:color w:val="000000"/>
                <w:sz w:val="9"/>
              </w:rPr>
              <w:t>(4)</w:t>
            </w:r>
          </w:p>
        </w:tc>
        <w:tc>
          <w:tcPr>
            <w:tcW w:w="91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60,199</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516</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23,426</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1,155</w:t>
            </w: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4"/>
              </w:rPr>
            </w:pPr>
            <w:r>
              <w:rPr>
                <w:rFonts w:ascii="Arial;sans-serif" w:hAnsi="Arial;sans-serif"/>
                <w:b/>
                <w:color w:val="000000"/>
                <w:sz w:val="14"/>
              </w:rPr>
              <w:t>(50)</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85,246</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rFonts w:ascii="Arial;sans-serif" w:hAnsi="Arial;sans-serif"/>
                <w:b/>
                <w:color w:val="000000"/>
                <w:sz w:val="14"/>
              </w:rPr>
            </w:pPr>
            <w:r>
              <w:rPr>
                <w:rFonts w:ascii="Arial;sans-serif" w:hAnsi="Arial;sans-serif"/>
                <w:b/>
                <w:color w:val="000000"/>
                <w:sz w:val="14"/>
              </w:rPr>
              <w:t>EBITDAP</w:t>
            </w:r>
          </w:p>
        </w:tc>
        <w:tc>
          <w:tcPr>
            <w:tcW w:w="19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1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74,005</w:t>
            </w:r>
            <w:r>
              <w:rPr>
                <w:color w:val="000000"/>
              </w:rPr>
              <w:t>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9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38,856</w:t>
            </w:r>
            <w:r>
              <w:rPr>
                <w:color w:val="000000"/>
              </w:rPr>
              <w:t>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21,378</w:t>
            </w:r>
            <w:r>
              <w:rPr>
                <w:color w:val="000000"/>
              </w:rPr>
              <w:t> </w:t>
            </w:r>
          </w:p>
        </w:tc>
        <w:tc>
          <w:tcPr>
            <w:tcW w:w="1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9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4"/>
              </w:rPr>
            </w:pPr>
            <w:r>
              <w:rPr>
                <w:rFonts w:ascii="Arial;sans-serif" w:hAnsi="Arial;sans-serif"/>
                <w:b/>
                <w:color w:val="000000"/>
                <w:sz w:val="14"/>
              </w:rPr>
              <w:t>(11,161)</w:t>
            </w:r>
          </w:p>
        </w:tc>
        <w:tc>
          <w:tcPr>
            <w:tcW w:w="12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83"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4"/>
              </w:rPr>
            </w:pPr>
            <w:r>
              <w:rPr>
                <w:rFonts w:ascii="Arial;sans-serif" w:hAnsi="Arial;sans-serif"/>
                <w:b/>
                <w:color w:val="000000"/>
                <w:sz w:val="14"/>
              </w:rPr>
              <w:t>(10)</w:t>
            </w:r>
          </w:p>
        </w:tc>
        <w:tc>
          <w:tcPr>
            <w:tcW w:w="1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7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123,068</w:t>
            </w:r>
            <w:r>
              <w:rPr>
                <w:color w:val="000000"/>
              </w:rPr>
              <w:t> </w:t>
            </w:r>
          </w:p>
        </w:tc>
        <w:tc>
          <w:tcPr>
            <w:tcW w:w="1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Pension Service Cost</w:t>
            </w:r>
          </w:p>
        </w:tc>
        <w:tc>
          <w:tcPr>
            <w:tcW w:w="91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176</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3,952</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4,046</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937</w:t>
            </w: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9,111</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Depreciation Expense</w:t>
            </w:r>
          </w:p>
        </w:tc>
        <w:tc>
          <w:tcPr>
            <w:tcW w:w="91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9,579</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567</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1,548</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19</w:t>
            </w: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11,713</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 xml:space="preserve">Income (Loss) from Operations before Amortization of Intangible Assets and Impairment of Goodwill and Other Long-lived Assets </w:t>
            </w:r>
          </w:p>
        </w:tc>
        <w:tc>
          <w:tcPr>
            <w:tcW w:w="19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1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64,250</w:t>
            </w:r>
            <w:r>
              <w:rPr>
                <w:color w:val="000000"/>
              </w:rPr>
              <w:t>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9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34,337</w:t>
            </w:r>
            <w:r>
              <w:rPr>
                <w:color w:val="000000"/>
              </w:rPr>
              <w:t>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15,784</w:t>
            </w:r>
            <w:r>
              <w:rPr>
                <w:color w:val="000000"/>
              </w:rPr>
              <w:t> </w:t>
            </w:r>
          </w:p>
        </w:tc>
        <w:tc>
          <w:tcPr>
            <w:tcW w:w="1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9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4"/>
              </w:rPr>
            </w:pPr>
            <w:r>
              <w:rPr>
                <w:rFonts w:ascii="Arial;sans-serif" w:hAnsi="Arial;sans-serif"/>
                <w:b/>
                <w:color w:val="000000"/>
                <w:sz w:val="14"/>
              </w:rPr>
              <w:t>(12,117)</w:t>
            </w:r>
          </w:p>
        </w:tc>
        <w:tc>
          <w:tcPr>
            <w:tcW w:w="12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83"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4"/>
              </w:rPr>
            </w:pPr>
            <w:r>
              <w:rPr>
                <w:rFonts w:ascii="Arial;sans-serif" w:hAnsi="Arial;sans-serif"/>
                <w:b/>
                <w:color w:val="000000"/>
                <w:sz w:val="14"/>
              </w:rPr>
              <w:t>(10)</w:t>
            </w:r>
          </w:p>
        </w:tc>
        <w:tc>
          <w:tcPr>
            <w:tcW w:w="1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7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102,244</w:t>
            </w:r>
            <w:r>
              <w:rPr>
                <w:color w:val="000000"/>
              </w:rPr>
              <w:t> </w:t>
            </w:r>
          </w:p>
        </w:tc>
        <w:tc>
          <w:tcPr>
            <w:tcW w:w="1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Capital Expenditures</w:t>
            </w:r>
          </w:p>
        </w:tc>
        <w:tc>
          <w:tcPr>
            <w:tcW w:w="195"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15"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6,240</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9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1,416</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6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792</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97"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5</w:t>
            </w: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78"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8,453</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493"/>
        <w:gridCol w:w="1493"/>
        <w:gridCol w:w="1493"/>
        <w:gridCol w:w="1723"/>
        <w:gridCol w:w="1493"/>
        <w:gridCol w:w="21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The significant expense categories and amounts align with the segment-level information that is regularly provided to the CODM.</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(3)</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Excludes pension service cost, which is shown separately above. Excludes any payroll and related benefits costs captured in cost of revenue.</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(4)</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Other segment items for each reportable segment include: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(a)</w:t>
            </w:r>
          </w:p>
        </w:tc>
        <w:tc>
          <w:tcPr>
            <w:tcW w:w="53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Kaplan international - travel meals and entertainment expense, training and employment expense, operating fees and other G&amp;A expenses.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(b)</w:t>
            </w:r>
          </w:p>
        </w:tc>
        <w:tc>
          <w:tcPr>
            <w:tcW w:w="53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Higher education - training and employment expense, operating fees and other G&amp;A expenses.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(c)</w:t>
            </w:r>
          </w:p>
        </w:tc>
        <w:tc>
          <w:tcPr>
            <w:tcW w:w="53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Supplemental education - training and employment expense, operating fees and other G&amp;A expenses.</w:t>
            </w:r>
          </w:p>
        </w:tc>
      </w:tr>
    </w:tbl>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Company’s healthcare division segment information is as follows:</w:t>
      </w:r>
    </w:p>
    <w:tbl>
      <w:tblPr>
        <w:tblW w:w="8323" w:type="dxa"/>
        <w:jc w:val="left"/>
        <w:tblInd w:w="0" w:type="dxa"/>
        <w:tblLayout w:type="fixed"/>
        <w:tblCellMar>
          <w:top w:w="28" w:type="dxa"/>
          <w:left w:w="28" w:type="dxa"/>
          <w:bottom w:w="28" w:type="dxa"/>
          <w:right w:w="28" w:type="dxa"/>
        </w:tblCellMar>
      </w:tblPr>
      <w:tblGrid>
        <w:gridCol w:w="1563"/>
        <w:gridCol w:w="1376"/>
        <w:gridCol w:w="1380"/>
        <w:gridCol w:w="181"/>
        <w:gridCol w:w="661"/>
        <w:gridCol w:w="109"/>
        <w:gridCol w:w="109"/>
        <w:gridCol w:w="109"/>
        <w:gridCol w:w="109"/>
        <w:gridCol w:w="228"/>
        <w:gridCol w:w="834"/>
        <w:gridCol w:w="137"/>
        <w:gridCol w:w="109"/>
        <w:gridCol w:w="109"/>
        <w:gridCol w:w="109"/>
        <w:gridCol w:w="218"/>
        <w:gridCol w:w="797"/>
        <w:gridCol w:w="185"/>
      </w:tblGrid>
      <w:tr>
        <w:trPr/>
        <w:tc>
          <w:tcPr>
            <w:tcW w:w="15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15"/>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Six Months Ended June 30, 2026</w:t>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(in thousands)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CSI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Other Healthcare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Total Healthcare</w:t>
            </w:r>
          </w:p>
        </w:tc>
      </w:tr>
      <w:tr>
        <w:trPr/>
        <w:tc>
          <w:tcPr>
            <w:tcW w:w="4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Operating Revenues</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266,304</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834"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190,687</w:t>
            </w:r>
            <w:r>
              <w:rPr>
                <w:color w:val="000000"/>
              </w:rPr>
              <w:t> </w:t>
            </w:r>
          </w:p>
        </w:tc>
        <w:tc>
          <w:tcPr>
            <w:tcW w:w="1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9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456,991</w:t>
            </w:r>
            <w:r>
              <w:rPr>
                <w:color w:val="000000"/>
              </w:rPr>
              <w:t>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i/>
                <w:color w:val="000000"/>
                <w:sz w:val="14"/>
              </w:rPr>
              <w:t xml:space="preserve">Less: Significant Expenses </w:t>
            </w:r>
            <w:r>
              <w:rPr>
                <w:rFonts w:ascii="Arial;sans-serif" w:hAnsi="Arial;sans-serif"/>
                <w:b w:val="false"/>
                <w:i/>
                <w:color w:val="000000"/>
                <w:sz w:val="9"/>
              </w:rPr>
              <w:t>(1)</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4"/>
              </w:rPr>
              <w:t xml:space="preserve">Cost of Revenue </w:t>
            </w:r>
            <w:r>
              <w:rPr>
                <w:rFonts w:ascii="Arial;sans-serif" w:hAnsi="Arial;sans-serif"/>
                <w:b w:val="false"/>
                <w:color w:val="000000"/>
                <w:sz w:val="9"/>
              </w:rPr>
              <w:t>(2)</w:t>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206,184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90,248</w:t>
            </w: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296,432</w:t>
            </w: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4"/>
              </w:rPr>
              <w:t xml:space="preserve">Other Segment Items </w:t>
            </w:r>
            <w:r>
              <w:rPr>
                <w:rFonts w:ascii="Arial;sans-serif" w:hAnsi="Arial;sans-serif"/>
                <w:b w:val="false"/>
                <w:color w:val="000000"/>
                <w:sz w:val="9"/>
              </w:rPr>
              <w:t>(3)</w:t>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40,675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70,306</w:t>
            </w: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110,981</w:t>
            </w: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rFonts w:ascii="Arial;sans-serif" w:hAnsi="Arial;sans-serif"/>
                <w:b/>
                <w:color w:val="000000"/>
                <w:sz w:val="14"/>
              </w:rPr>
            </w:pPr>
            <w:r>
              <w:rPr>
                <w:rFonts w:ascii="Arial;sans-serif" w:hAnsi="Arial;sans-serif"/>
                <w:b/>
                <w:color w:val="000000"/>
                <w:sz w:val="14"/>
              </w:rPr>
              <w:t>EBITDAP</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19,445</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834"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30,133</w:t>
            </w:r>
            <w:r>
              <w:rPr>
                <w:color w:val="000000"/>
              </w:rPr>
              <w:t> </w:t>
            </w:r>
          </w:p>
        </w:tc>
        <w:tc>
          <w:tcPr>
            <w:tcW w:w="1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9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49,578</w:t>
            </w:r>
            <w:r>
              <w:rPr>
                <w:color w:val="000000"/>
              </w:rPr>
              <w:t>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Pension Service Cost</w:t>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3,529</w:t>
            </w: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3,529</w:t>
            </w: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Depreciation Expense</w:t>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594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3,233</w:t>
            </w: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3,827</w:t>
            </w: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Income from Operations before Amortization of Intangible Assets</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18,851</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834"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23,371</w:t>
            </w:r>
            <w:r>
              <w:rPr>
                <w:color w:val="000000"/>
              </w:rPr>
              <w:t> </w:t>
            </w:r>
          </w:p>
        </w:tc>
        <w:tc>
          <w:tcPr>
            <w:tcW w:w="1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9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42,222</w:t>
            </w:r>
            <w:r>
              <w:rPr>
                <w:color w:val="000000"/>
              </w:rPr>
              <w:t>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Capital Expenditures</w:t>
            </w:r>
          </w:p>
        </w:tc>
        <w:tc>
          <w:tcPr>
            <w:tcW w:w="18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2,787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834"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2,946</w:t>
            </w: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97"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5,733</w:t>
            </w: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529"/>
        <w:gridCol w:w="1529"/>
        <w:gridCol w:w="1529"/>
        <w:gridCol w:w="1529"/>
        <w:gridCol w:w="1529"/>
        <w:gridCol w:w="22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The significant expense categories and amounts align with the segment-level information that is regularly provided to the CODM.</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Cost of revenue reflects the amounts reported and provided to the CODM and does not necessarily reconcile to the Company's Consolidated Statement of Operations. Cost of revenue excludes charges related to depreciation, which is shown separately.</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(3)</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Other segment items for CSI include indirect costs (e.g. payroll and benefits expenses, G&amp;A expenses) and other SG&amp;A expenses.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Company’s segment information is as follows:</w:t>
      </w:r>
    </w:p>
    <w:tbl>
      <w:tblPr>
        <w:tblW w:w="10205" w:type="dxa"/>
        <w:jc w:val="left"/>
        <w:tblInd w:w="0" w:type="dxa"/>
        <w:tblLayout w:type="fixed"/>
        <w:tblCellMar>
          <w:top w:w="28" w:type="dxa"/>
          <w:left w:w="28" w:type="dxa"/>
          <w:bottom w:w="28" w:type="dxa"/>
          <w:right w:w="28" w:type="dxa"/>
        </w:tblCellMar>
      </w:tblPr>
      <w:tblGrid>
        <w:gridCol w:w="989"/>
        <w:gridCol w:w="706"/>
        <w:gridCol w:w="710"/>
        <w:gridCol w:w="181"/>
        <w:gridCol w:w="646"/>
        <w:gridCol w:w="109"/>
        <w:gridCol w:w="109"/>
        <w:gridCol w:w="109"/>
        <w:gridCol w:w="109"/>
        <w:gridCol w:w="237"/>
        <w:gridCol w:w="850"/>
        <w:gridCol w:w="145"/>
        <w:gridCol w:w="109"/>
        <w:gridCol w:w="109"/>
        <w:gridCol w:w="109"/>
        <w:gridCol w:w="181"/>
        <w:gridCol w:w="646"/>
        <w:gridCol w:w="109"/>
        <w:gridCol w:w="109"/>
        <w:gridCol w:w="109"/>
        <w:gridCol w:w="109"/>
        <w:gridCol w:w="194"/>
        <w:gridCol w:w="694"/>
        <w:gridCol w:w="118"/>
        <w:gridCol w:w="109"/>
        <w:gridCol w:w="109"/>
        <w:gridCol w:w="109"/>
        <w:gridCol w:w="181"/>
        <w:gridCol w:w="646"/>
        <w:gridCol w:w="109"/>
        <w:gridCol w:w="109"/>
        <w:gridCol w:w="109"/>
        <w:gridCol w:w="109"/>
        <w:gridCol w:w="183"/>
        <w:gridCol w:w="777"/>
        <w:gridCol w:w="159"/>
      </w:tblGrid>
      <w:tr>
        <w:trPr/>
        <w:tc>
          <w:tcPr>
            <w:tcW w:w="98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Six Months Ended June 30, 2025</w:t>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(in thousands)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Education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Television Broadcasting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Healthcare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Manufacturing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Automotive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Total Segments</w:t>
            </w:r>
          </w:p>
        </w:tc>
      </w:tr>
      <w:tr>
        <w:trPr/>
        <w:tc>
          <w:tcPr>
            <w:tcW w:w="24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Operating Revenues</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861,544 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850"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209,538 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375,960 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94"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194,223 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566,563 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7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2,207,828 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i/>
                <w:color w:val="000000"/>
                <w:sz w:val="14"/>
              </w:rPr>
            </w:pPr>
            <w:r>
              <w:rPr>
                <w:rFonts w:ascii="Arial;sans-serif" w:hAnsi="Arial;sans-serif"/>
                <w:b w:val="false"/>
                <w:i/>
                <w:color w:val="000000"/>
                <w:sz w:val="14"/>
              </w:rPr>
              <w:t>Reconciliation of Revenue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pPr>
            <w:r>
              <w:rPr>
                <w:rFonts w:ascii="Arial;sans-serif" w:hAnsi="Arial;sans-serif"/>
                <w:b w:val="false"/>
                <w:color w:val="000000"/>
                <w:sz w:val="14"/>
              </w:rPr>
              <w:t xml:space="preserve">Other Businesses and Corporate Office Revenues </w:t>
            </w:r>
            <w:r>
              <w:rPr>
                <w:rFonts w:ascii="Arial;sans-serif" w:hAnsi="Arial;sans-serif"/>
                <w:b w:val="false"/>
                <w:color w:val="000000"/>
                <w:sz w:val="9"/>
              </w:rPr>
              <w:t>(1)</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175,108 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Intersegment Elimination</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(1,249)</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Total Consolidated 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7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2,381,687 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i/>
                <w:color w:val="000000"/>
                <w:sz w:val="14"/>
              </w:rPr>
              <w:t xml:space="preserve">Less: Significant Expenses </w:t>
            </w:r>
            <w:r>
              <w:rPr>
                <w:rFonts w:ascii="Arial;sans-serif" w:hAnsi="Arial;sans-serif"/>
                <w:b w:val="false"/>
                <w:i/>
                <w:color w:val="000000"/>
                <w:sz w:val="9"/>
              </w:rPr>
              <w:t>(2)</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4"/>
              </w:rPr>
              <w:t xml:space="preserve">Cost of Revenue </w:t>
            </w:r>
            <w:r>
              <w:rPr>
                <w:rFonts w:ascii="Arial;sans-serif" w:hAnsi="Arial;sans-serif"/>
                <w:b w:val="false"/>
                <w:color w:val="000000"/>
                <w:sz w:val="9"/>
              </w:rPr>
              <w:t>(3)</w:t>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325,104 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222,067 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135,105 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481,946 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1,164,222 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pPr>
            <w:r>
              <w:rPr>
                <w:rFonts w:ascii="Arial;sans-serif" w:hAnsi="Arial;sans-serif"/>
                <w:b w:val="false"/>
                <w:color w:val="000000"/>
                <w:sz w:val="14"/>
              </w:rPr>
              <w:t xml:space="preserve">Payroll and Fringe Benefits Expense </w:t>
            </w:r>
            <w:r>
              <w:rPr>
                <w:rFonts w:ascii="Arial;sans-serif" w:hAnsi="Arial;sans-serif"/>
                <w:b w:val="false"/>
                <w:color w:val="000000"/>
                <w:sz w:val="9"/>
              </w:rPr>
              <w:t>(4)</w:t>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233,947 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54,582 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39,056 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327,585 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Occupancy Expense</w:t>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56,946 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3,728 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60,674 </w:t>
            </w:r>
          </w:p>
        </w:tc>
        <w:tc>
          <w:tcPr>
            <w:tcW w:w="15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Advertising and Marketing Expense</w:t>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40,411 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40,411 </w:t>
            </w:r>
          </w:p>
        </w:tc>
        <w:tc>
          <w:tcPr>
            <w:tcW w:w="15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Networking and Programming Expense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62,564 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62,564 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4"/>
              </w:rPr>
              <w:t xml:space="preserve">Management Services </w:t>
            </w:r>
            <w:r>
              <w:rPr>
                <w:rFonts w:ascii="Arial;sans-serif" w:hAnsi="Arial;sans-serif"/>
                <w:b w:val="false"/>
                <w:color w:val="000000"/>
                <w:sz w:val="9"/>
              </w:rPr>
              <w:t>(5)</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4,111 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4,111 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4"/>
              </w:rPr>
              <w:t xml:space="preserve">Other Segment Items </w:t>
            </w:r>
            <w:r>
              <w:rPr>
                <w:rFonts w:ascii="Arial;sans-serif" w:hAnsi="Arial;sans-serif"/>
                <w:b w:val="false"/>
                <w:color w:val="000000"/>
                <w:sz w:val="9"/>
              </w:rPr>
              <w:t>(6)</w:t>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91,288 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29,130 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101,743 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34,123 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18,442 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274,726 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64" w:before="0" w:after="0"/>
              <w:ind w:left="0" w:right="0" w:hanging="90"/>
              <w:jc w:val="left"/>
              <w:rPr>
                <w:rFonts w:ascii="Arial;sans-serif" w:hAnsi="Arial;sans-serif"/>
                <w:b/>
                <w:color w:val="000000"/>
                <w:sz w:val="14"/>
              </w:rPr>
            </w:pPr>
            <w:r>
              <w:rPr>
                <w:rFonts w:ascii="Arial;sans-serif" w:hAnsi="Arial;sans-serif"/>
                <w:b/>
                <w:color w:val="000000"/>
                <w:sz w:val="14"/>
              </w:rPr>
              <w:t>EBITDAP</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113,848 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850"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63,262 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52,150 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94"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24,995 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19,280 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7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273,535 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Pension Service Cost</w:t>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8,636 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2,951 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4,992 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1,730 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18,357 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Depreciation Expense</w:t>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15,176 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5,253 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3,509 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5,357 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3,437 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32,732 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Income from Operations before Amortization of Intangible Assets</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90,036 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850"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55,058 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43,649 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94"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17,908 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15,795 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7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222,446 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pPr>
            <w:r>
              <w:rPr>
                <w:rFonts w:ascii="Arial;sans-serif" w:hAnsi="Arial;sans-serif"/>
                <w:b/>
                <w:color w:val="000000"/>
                <w:sz w:val="14"/>
              </w:rPr>
              <w:t xml:space="preserve">Other Businesses </w:t>
            </w:r>
            <w:r>
              <w:rPr>
                <w:rFonts w:ascii="Arial;sans-serif" w:hAnsi="Arial;sans-serif"/>
                <w:b/>
                <w:color w:val="000000"/>
                <w:sz w:val="9"/>
              </w:rPr>
              <w:t>(7)</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(55,113)</w:t>
            </w:r>
          </w:p>
        </w:tc>
        <w:tc>
          <w:tcPr>
            <w:tcW w:w="15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Corporate Costs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(32,044)</w:t>
            </w:r>
          </w:p>
        </w:tc>
        <w:tc>
          <w:tcPr>
            <w:tcW w:w="15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Amortization of Intangible Assets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(15,065)</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Income from Operations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7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120,224 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Equity in Losses of Affiliates, Net</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(5,314)</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Interest Expense, Net</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(95,622)</w:t>
            </w:r>
          </w:p>
        </w:tc>
        <w:tc>
          <w:tcPr>
            <w:tcW w:w="15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Non-Operating Pension and Postretirement Benefit Income, Net</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63,219 </w:t>
            </w:r>
          </w:p>
        </w:tc>
        <w:tc>
          <w:tcPr>
            <w:tcW w:w="15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Gain on Marketable Equity Securities, Net</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32,258 </w:t>
            </w:r>
          </w:p>
        </w:tc>
        <w:tc>
          <w:tcPr>
            <w:tcW w:w="15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Other Expense, Net</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(20,521)</w:t>
            </w:r>
          </w:p>
        </w:tc>
        <w:tc>
          <w:tcPr>
            <w:tcW w:w="15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Income Before Income Taxes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7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94,244 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Capital Expenditures</w:t>
            </w:r>
          </w:p>
        </w:tc>
        <w:tc>
          <w:tcPr>
            <w:tcW w:w="18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10,117 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850"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1,482 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5,066 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94"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6,059 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1,972 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77"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24,696 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i/>
                <w:color w:val="000000"/>
                <w:sz w:val="14"/>
              </w:rPr>
            </w:pPr>
            <w:r>
              <w:rPr>
                <w:rFonts w:ascii="Arial;sans-serif" w:hAnsi="Arial;sans-serif"/>
                <w:b w:val="false"/>
                <w:i/>
                <w:color w:val="000000"/>
                <w:sz w:val="14"/>
              </w:rPr>
              <w:t>Reconciliation of Capital Expenditures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pPr>
            <w:r>
              <w:rPr>
                <w:rFonts w:ascii="Arial;sans-serif" w:hAnsi="Arial;sans-serif"/>
                <w:b w:val="false"/>
                <w:color w:val="000000"/>
                <w:sz w:val="14"/>
              </w:rPr>
              <w:t xml:space="preserve">Other Businesses and Corporate Office Capital Expenditures </w:t>
            </w:r>
            <w:r>
              <w:rPr>
                <w:rFonts w:ascii="Arial;sans-serif" w:hAnsi="Arial;sans-serif"/>
                <w:b w:val="false"/>
                <w:color w:val="000000"/>
                <w:sz w:val="9"/>
              </w:rPr>
              <w:t>(8)</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9,227 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Total Capital Expenditures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7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33,923 </w:t>
            </w:r>
          </w:p>
        </w:tc>
        <w:tc>
          <w:tcPr>
            <w:tcW w:w="15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290"/>
        <w:gridCol w:w="1230"/>
        <w:gridCol w:w="1230"/>
        <w:gridCol w:w="1953"/>
        <w:gridCol w:w="1719"/>
        <w:gridCol w:w="24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(1)</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Revenue from segments below the quantitative thresholds is attributable to Other Businesses and the Corporate Office, as described above. None of these operating segments meet the quantitative thresholds for determining reportable segments.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(2)</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The significant expense categories and amounts align with the segment-level information that is regularly provided to the CODM.</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(3)</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(4)</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Excludes pension service cost, which is shown separately above. Excludes any payroll and related benefits costs captured in cost of revenue.</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(5)</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Management and operating services provided by Christopher J. Ourisman and his team of industry professionals.</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(6)</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Other segment items for each reportable segment include: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(a)</w:t>
            </w:r>
          </w:p>
        </w:tc>
        <w:tc>
          <w:tcPr>
            <w:tcW w:w="611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Education (includes Kaplan International, Kaplan Higher Education and Kaplan Supplemental Education) - training and employment expense, travel meals and entertainment expense, operating fees and other G&amp;A expenses.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(b)</w:t>
            </w:r>
          </w:p>
        </w:tc>
        <w:tc>
          <w:tcPr>
            <w:tcW w:w="611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Television Broadcasting - other broadcast expenses, facilities expenses, third-party commission costs and other SG&amp;A expenses.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(c)</w:t>
            </w:r>
          </w:p>
        </w:tc>
        <w:tc>
          <w:tcPr>
            <w:tcW w:w="611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Healthcare - indirect costs (e.g. payroll and benefits expenses, G&amp;A expenses) and other SG&amp;A expenses.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(d)</w:t>
            </w:r>
          </w:p>
        </w:tc>
        <w:tc>
          <w:tcPr>
            <w:tcW w:w="611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Manufacturing - payroll and fringe benefits expense (SG&amp;A) and other SG&amp;A expenses.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(e)</w:t>
            </w:r>
          </w:p>
        </w:tc>
        <w:tc>
          <w:tcPr>
            <w:tcW w:w="611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Automotive - advertising and marketing expense and other G&amp;A expenses.</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(7)</w:t>
            </w:r>
          </w:p>
        </w:tc>
        <w:tc>
          <w:tcPr>
            <w:tcW w:w="9863" w:type="dxa"/>
            <w:gridSpan w:val="6"/>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Profit or loss from operating segments below the quantitative thresholds attributable to Other Businesses as described above. These operating segments did not meet any of the quantitative thresholds for determining reportable segments.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(8)</w:t>
            </w:r>
          </w:p>
        </w:tc>
        <w:tc>
          <w:tcPr>
            <w:tcW w:w="9863" w:type="dxa"/>
            <w:gridSpan w:val="6"/>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2"/>
              </w:rPr>
            </w:pPr>
            <w:r>
              <w:rPr>
                <w:rFonts w:ascii="Arial;sans-serif" w:hAnsi="Arial;sans-serif"/>
                <w:b w:val="false"/>
                <w:color w:val="000000"/>
                <w:sz w:val="12"/>
              </w:rPr>
              <w:t>Capital Expenditures from operating segments below the quantitative thresholds are attributable to Other Businesses and the Corporate Office, as described above. None of these operating segments meet the quantitative thresholds for determining reportable segments.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Company’s education division segment information is as follows:</w:t>
      </w:r>
    </w:p>
    <w:tbl>
      <w:tblPr>
        <w:tblW w:w="10205" w:type="dxa"/>
        <w:jc w:val="left"/>
        <w:tblInd w:w="0" w:type="dxa"/>
        <w:tblLayout w:type="fixed"/>
        <w:tblCellMar>
          <w:top w:w="28" w:type="dxa"/>
          <w:left w:w="28" w:type="dxa"/>
          <w:bottom w:w="28" w:type="dxa"/>
          <w:right w:w="28" w:type="dxa"/>
        </w:tblCellMar>
      </w:tblPr>
      <w:tblGrid>
        <w:gridCol w:w="816"/>
        <w:gridCol w:w="594"/>
        <w:gridCol w:w="596"/>
        <w:gridCol w:w="205"/>
        <w:gridCol w:w="733"/>
        <w:gridCol w:w="123"/>
        <w:gridCol w:w="109"/>
        <w:gridCol w:w="109"/>
        <w:gridCol w:w="109"/>
        <w:gridCol w:w="195"/>
        <w:gridCol w:w="696"/>
        <w:gridCol w:w="117"/>
        <w:gridCol w:w="109"/>
        <w:gridCol w:w="109"/>
        <w:gridCol w:w="109"/>
        <w:gridCol w:w="223"/>
        <w:gridCol w:w="801"/>
        <w:gridCol w:w="136"/>
        <w:gridCol w:w="109"/>
        <w:gridCol w:w="109"/>
        <w:gridCol w:w="109"/>
        <w:gridCol w:w="235"/>
        <w:gridCol w:w="767"/>
        <w:gridCol w:w="141"/>
        <w:gridCol w:w="109"/>
        <w:gridCol w:w="109"/>
        <w:gridCol w:w="109"/>
        <w:gridCol w:w="315"/>
        <w:gridCol w:w="655"/>
        <w:gridCol w:w="190"/>
        <w:gridCol w:w="109"/>
        <w:gridCol w:w="109"/>
        <w:gridCol w:w="109"/>
        <w:gridCol w:w="188"/>
        <w:gridCol w:w="674"/>
        <w:gridCol w:w="170"/>
      </w:tblGrid>
      <w:tr>
        <w:trPr/>
        <w:tc>
          <w:tcPr>
            <w:tcW w:w="81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9" w:type="dxa"/>
            <w:gridSpan w:val="3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Six Months Ended June 30, 2025</w:t>
            </w:r>
          </w:p>
        </w:tc>
      </w:tr>
      <w:tr>
        <w:trPr/>
        <w:tc>
          <w:tcPr>
            <w:tcW w:w="200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(in thousands)</w:t>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Kaplan 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Higher Education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Supplemental Education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Kaplan 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Intersegment Elimination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Total Education</w:t>
            </w:r>
          </w:p>
        </w:tc>
      </w:tr>
      <w:tr>
        <w:trPr/>
        <w:tc>
          <w:tcPr>
            <w:tcW w:w="2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Operating Revenues</w:t>
            </w:r>
          </w:p>
        </w:tc>
        <w:tc>
          <w:tcPr>
            <w:tcW w:w="20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33"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533,427 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173,225 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80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155,564 </w:t>
            </w:r>
          </w:p>
        </w:tc>
        <w:tc>
          <w:tcPr>
            <w:tcW w:w="1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6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35 </w:t>
            </w:r>
          </w:p>
        </w:tc>
        <w:tc>
          <w:tcPr>
            <w:tcW w:w="1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5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(707)</w:t>
            </w:r>
          </w:p>
        </w:tc>
        <w:tc>
          <w:tcPr>
            <w:tcW w:w="19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74"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861,544 </w:t>
            </w:r>
          </w:p>
        </w:tc>
        <w:tc>
          <w:tcPr>
            <w:tcW w:w="1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i/>
                <w:color w:val="000000"/>
                <w:sz w:val="14"/>
              </w:rPr>
              <w:t xml:space="preserve">Less: Significant Expenses </w:t>
            </w:r>
            <w:r>
              <w:rPr>
                <w:rFonts w:ascii="Arial;sans-serif" w:hAnsi="Arial;sans-serif"/>
                <w:b w:val="false"/>
                <w:i/>
                <w:color w:val="000000"/>
                <w:sz w:val="9"/>
              </w:rPr>
              <w:t>(1)</w:t>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4"/>
              </w:rPr>
              <w:t xml:space="preserve">Cost of Revenue </w:t>
            </w:r>
            <w:r>
              <w:rPr>
                <w:rFonts w:ascii="Arial;sans-serif" w:hAnsi="Arial;sans-serif"/>
                <w:b w:val="false"/>
                <w:color w:val="000000"/>
                <w:sz w:val="9"/>
              </w:rPr>
              <w:t>(2)</w:t>
            </w:r>
          </w:p>
        </w:tc>
        <w:tc>
          <w:tcPr>
            <w:tcW w:w="93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177,518 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123,383 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24,872 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(669)</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325,104 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pPr>
            <w:r>
              <w:rPr>
                <w:rFonts w:ascii="Arial;sans-serif" w:hAnsi="Arial;sans-serif"/>
                <w:b w:val="false"/>
                <w:color w:val="000000"/>
                <w:sz w:val="14"/>
              </w:rPr>
              <w:t xml:space="preserve">Payroll and Fringe Benefits Expense </w:t>
            </w:r>
            <w:r>
              <w:rPr>
                <w:rFonts w:ascii="Arial;sans-serif" w:hAnsi="Arial;sans-serif"/>
                <w:b w:val="false"/>
                <w:color w:val="000000"/>
                <w:sz w:val="9"/>
              </w:rPr>
              <w:t>(3)</w:t>
            </w:r>
          </w:p>
        </w:tc>
        <w:tc>
          <w:tcPr>
            <w:tcW w:w="93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147,322 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9,719 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66,512 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10,416 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(22)</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233,947 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Occupancy Expense</w:t>
            </w:r>
          </w:p>
        </w:tc>
        <w:tc>
          <w:tcPr>
            <w:tcW w:w="93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54,565 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360 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1,886 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135 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56,946 </w:t>
            </w:r>
          </w:p>
        </w:tc>
        <w:tc>
          <w:tcPr>
            <w:tcW w:w="170"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Advertising and Marketing Expense</w:t>
            </w:r>
          </w:p>
        </w:tc>
        <w:tc>
          <w:tcPr>
            <w:tcW w:w="93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16,943 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4,008 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19,210 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250 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40,411 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4"/>
              </w:rPr>
              <w:t xml:space="preserve">Other Segment Items </w:t>
            </w:r>
            <w:r>
              <w:rPr>
                <w:rFonts w:ascii="Arial;sans-serif" w:hAnsi="Arial;sans-serif"/>
                <w:b w:val="false"/>
                <w:color w:val="000000"/>
                <w:sz w:val="9"/>
              </w:rPr>
              <w:t>(4)</w:t>
            </w:r>
          </w:p>
        </w:tc>
        <w:tc>
          <w:tcPr>
            <w:tcW w:w="93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63,852 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440 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24,467 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2,493 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36 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91,288 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rFonts w:ascii="Arial;sans-serif" w:hAnsi="Arial;sans-serif"/>
                <w:b/>
                <w:color w:val="000000"/>
                <w:sz w:val="14"/>
              </w:rPr>
            </w:pPr>
            <w:r>
              <w:rPr>
                <w:rFonts w:ascii="Arial;sans-serif" w:hAnsi="Arial;sans-serif"/>
                <w:b/>
                <w:color w:val="000000"/>
                <w:sz w:val="14"/>
              </w:rPr>
              <w:t>EBITDAP</w:t>
            </w:r>
          </w:p>
        </w:tc>
        <w:tc>
          <w:tcPr>
            <w:tcW w:w="20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33"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73,227 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35,315 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80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18,617 </w:t>
            </w:r>
          </w:p>
        </w:tc>
        <w:tc>
          <w:tcPr>
            <w:tcW w:w="1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6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(13,259)</w:t>
            </w:r>
          </w:p>
        </w:tc>
        <w:tc>
          <w:tcPr>
            <w:tcW w:w="1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5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(52)</w:t>
            </w:r>
          </w:p>
        </w:tc>
        <w:tc>
          <w:tcPr>
            <w:tcW w:w="19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74"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113,848 </w:t>
            </w:r>
          </w:p>
        </w:tc>
        <w:tc>
          <w:tcPr>
            <w:tcW w:w="1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Pension Service Cost</w:t>
            </w:r>
          </w:p>
        </w:tc>
        <w:tc>
          <w:tcPr>
            <w:tcW w:w="93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286 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3,697 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3,859 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794 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8,636 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Depreciation Expense</w:t>
            </w:r>
          </w:p>
        </w:tc>
        <w:tc>
          <w:tcPr>
            <w:tcW w:w="93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12,942 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839 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1,384 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15,176 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Income (Loss) from Operations before Amortization of Intangible Assets</w:t>
            </w:r>
          </w:p>
        </w:tc>
        <w:tc>
          <w:tcPr>
            <w:tcW w:w="20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33"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59,999 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9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30,779 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80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13,374 </w:t>
            </w:r>
          </w:p>
        </w:tc>
        <w:tc>
          <w:tcPr>
            <w:tcW w:w="1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6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(14,064)</w:t>
            </w:r>
          </w:p>
        </w:tc>
        <w:tc>
          <w:tcPr>
            <w:tcW w:w="1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5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(52)</w:t>
            </w:r>
          </w:p>
        </w:tc>
        <w:tc>
          <w:tcPr>
            <w:tcW w:w="19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74"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90,036 </w:t>
            </w:r>
          </w:p>
        </w:tc>
        <w:tc>
          <w:tcPr>
            <w:tcW w:w="1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Capital Expenditures</w:t>
            </w:r>
          </w:p>
        </w:tc>
        <w:tc>
          <w:tcPr>
            <w:tcW w:w="205"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33"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6,500 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9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665 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801"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2,945 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67"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74"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10,117 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493"/>
        <w:gridCol w:w="1493"/>
        <w:gridCol w:w="1493"/>
        <w:gridCol w:w="1723"/>
        <w:gridCol w:w="1493"/>
        <w:gridCol w:w="21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The significant expense categories and amounts align with the segment-level information that is regularly provided to the CODM.</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(3)</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Excludes pension service cost, which is shown separately above. Excludes any payroll and related benefits costs captured in cost of revenue.</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(4)</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Other segment items for each reportable segment include: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(a)</w:t>
            </w:r>
          </w:p>
        </w:tc>
        <w:tc>
          <w:tcPr>
            <w:tcW w:w="53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Kaplan international - travel meals and entertainment expense, training and employment expense, operating fees and other G&amp;A expenses.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(b)</w:t>
            </w:r>
          </w:p>
        </w:tc>
        <w:tc>
          <w:tcPr>
            <w:tcW w:w="53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Higher education - training and employment expense, operating fees and other G&amp;A expenses.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(c)</w:t>
            </w:r>
          </w:p>
        </w:tc>
        <w:tc>
          <w:tcPr>
            <w:tcW w:w="53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Supplemental education - training and employment expense, operating fees and other G&amp;A expenses.</w:t>
            </w:r>
          </w:p>
        </w:tc>
      </w:tr>
    </w:tbl>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Company’s healthcare division segment information is as follows:</w:t>
      </w:r>
    </w:p>
    <w:tbl>
      <w:tblPr>
        <w:tblW w:w="8307" w:type="dxa"/>
        <w:jc w:val="left"/>
        <w:tblInd w:w="0" w:type="dxa"/>
        <w:tblLayout w:type="fixed"/>
        <w:tblCellMar>
          <w:top w:w="28" w:type="dxa"/>
          <w:left w:w="28" w:type="dxa"/>
          <w:bottom w:w="28" w:type="dxa"/>
          <w:right w:w="28" w:type="dxa"/>
        </w:tblCellMar>
      </w:tblPr>
      <w:tblGrid>
        <w:gridCol w:w="1563"/>
        <w:gridCol w:w="1376"/>
        <w:gridCol w:w="1380"/>
        <w:gridCol w:w="181"/>
        <w:gridCol w:w="646"/>
        <w:gridCol w:w="109"/>
        <w:gridCol w:w="109"/>
        <w:gridCol w:w="109"/>
        <w:gridCol w:w="109"/>
        <w:gridCol w:w="232"/>
        <w:gridCol w:w="828"/>
        <w:gridCol w:w="139"/>
        <w:gridCol w:w="109"/>
        <w:gridCol w:w="109"/>
        <w:gridCol w:w="109"/>
        <w:gridCol w:w="221"/>
        <w:gridCol w:w="790"/>
        <w:gridCol w:w="188"/>
      </w:tblGrid>
      <w:tr>
        <w:trPr/>
        <w:tc>
          <w:tcPr>
            <w:tcW w:w="15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8" w:type="dxa"/>
            <w:gridSpan w:val="15"/>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Six Months Ended June 30, 2025</w:t>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(in thousands)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CSI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Other Healthcare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Total Healthcare</w:t>
            </w:r>
          </w:p>
        </w:tc>
      </w:tr>
      <w:tr>
        <w:trPr/>
        <w:tc>
          <w:tcPr>
            <w:tcW w:w="4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Operating Revenues</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203,663 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82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172,297 </w:t>
            </w:r>
          </w:p>
        </w:tc>
        <w:tc>
          <w:tcPr>
            <w:tcW w:w="13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90"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375,960 </w:t>
            </w:r>
          </w:p>
        </w:tc>
        <w:tc>
          <w:tcPr>
            <w:tcW w:w="18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i/>
                <w:color w:val="000000"/>
                <w:sz w:val="14"/>
              </w:rPr>
              <w:t xml:space="preserve">Less: Significant Expenses </w:t>
            </w:r>
            <w:r>
              <w:rPr>
                <w:rFonts w:ascii="Arial;sans-serif" w:hAnsi="Arial;sans-serif"/>
                <w:b w:val="false"/>
                <w:i/>
                <w:color w:val="000000"/>
                <w:sz w:val="9"/>
              </w:rPr>
              <w:t>(1)</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4"/>
              </w:rPr>
              <w:t xml:space="preserve">Cost of Revenue </w:t>
            </w:r>
            <w:r>
              <w:rPr>
                <w:rFonts w:ascii="Arial;sans-serif" w:hAnsi="Arial;sans-serif"/>
                <w:b w:val="false"/>
                <w:color w:val="000000"/>
                <w:sz w:val="9"/>
              </w:rPr>
              <w:t>(2)</w:t>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146,021 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76,046 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222,067 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4"/>
              </w:rPr>
              <w:t xml:space="preserve">Other Segment Items </w:t>
            </w:r>
            <w:r>
              <w:rPr>
                <w:rFonts w:ascii="Arial;sans-serif" w:hAnsi="Arial;sans-serif"/>
                <w:b w:val="false"/>
                <w:color w:val="000000"/>
                <w:sz w:val="9"/>
              </w:rPr>
              <w:t>(3)</w:t>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33,576 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68,167 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101,743 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rFonts w:ascii="Arial;sans-serif" w:hAnsi="Arial;sans-serif"/>
                <w:b/>
                <w:color w:val="000000"/>
                <w:sz w:val="14"/>
              </w:rPr>
            </w:pPr>
            <w:r>
              <w:rPr>
                <w:rFonts w:ascii="Arial;sans-serif" w:hAnsi="Arial;sans-serif"/>
                <w:b/>
                <w:color w:val="000000"/>
                <w:sz w:val="14"/>
              </w:rPr>
              <w:t>EBITDAP</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24,066 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82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28,084 </w:t>
            </w:r>
          </w:p>
        </w:tc>
        <w:tc>
          <w:tcPr>
            <w:tcW w:w="13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90"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52,150 </w:t>
            </w:r>
          </w:p>
        </w:tc>
        <w:tc>
          <w:tcPr>
            <w:tcW w:w="18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Pension Service Cost</w:t>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4,992 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4,992 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Depreciation Expense</w:t>
            </w:r>
          </w:p>
        </w:tc>
        <w:tc>
          <w:tcPr>
            <w:tcW w:w="82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3,150 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3,509 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Income from Operations before Amortization of Intangible Assets</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23,707 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82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19,942 </w:t>
            </w:r>
          </w:p>
        </w:tc>
        <w:tc>
          <w:tcPr>
            <w:tcW w:w="13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90"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43,649 </w:t>
            </w:r>
          </w:p>
        </w:tc>
        <w:tc>
          <w:tcPr>
            <w:tcW w:w="18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Capital Expenditures</w:t>
            </w:r>
          </w:p>
        </w:tc>
        <w:tc>
          <w:tcPr>
            <w:tcW w:w="18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536 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828"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4,530 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790"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5,066 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529"/>
        <w:gridCol w:w="1529"/>
        <w:gridCol w:w="1529"/>
        <w:gridCol w:w="1529"/>
        <w:gridCol w:w="1529"/>
        <w:gridCol w:w="22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The significant expense categories and amounts align with the segment-level information that is regularly provided to the CODM.</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Cost of revenue reflects the amounts reported and provided to the CODM and does not necessarily reconcile to the Company's Consolidated Statement of Operations. Cost of revenue excludes charges related to depreciation, which is shown separately.</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(3)</w:t>
            </w:r>
          </w:p>
        </w:tc>
        <w:tc>
          <w:tcPr>
            <w:tcW w:w="9863"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Other segment items for CSI include indirect costs (e.g. payroll and benefits expenses, G&amp;A expenses) and other SG&amp;A expenses.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Asset information for the Company’s business segments is as follows:</w:t>
      </w:r>
    </w:p>
    <w:tbl>
      <w:tblPr>
        <w:tblW w:w="5747" w:type="dxa"/>
        <w:jc w:val="left"/>
        <w:tblInd w:w="0" w:type="dxa"/>
        <w:tblLayout w:type="fixed"/>
        <w:tblCellMar>
          <w:top w:w="28" w:type="dxa"/>
          <w:left w:w="28" w:type="dxa"/>
          <w:bottom w:w="28" w:type="dxa"/>
          <w:right w:w="28" w:type="dxa"/>
        </w:tblCellMar>
      </w:tblPr>
      <w:tblGrid>
        <w:gridCol w:w="1073"/>
        <w:gridCol w:w="947"/>
        <w:gridCol w:w="949"/>
        <w:gridCol w:w="181"/>
        <w:gridCol w:w="781"/>
        <w:gridCol w:w="109"/>
        <w:gridCol w:w="109"/>
        <w:gridCol w:w="109"/>
        <w:gridCol w:w="109"/>
        <w:gridCol w:w="227"/>
        <w:gridCol w:w="960"/>
        <w:gridCol w:w="193"/>
      </w:tblGrid>
      <w:tr>
        <w:trPr/>
        <w:tc>
          <w:tcPr>
            <w:tcW w:w="1073"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 </w:t>
            </w:r>
          </w:p>
        </w:tc>
        <w:tc>
          <w:tcPr>
            <w:tcW w:w="2778"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As of</w:t>
            </w:r>
          </w:p>
        </w:tc>
      </w:tr>
      <w:tr>
        <w:trPr/>
        <w:tc>
          <w:tcPr>
            <w:tcW w:w="29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(in thousands)</w:t>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29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Identifiable Assets</w:t>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29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Kaplan international</w:t>
            </w:r>
          </w:p>
        </w:tc>
        <w:tc>
          <w:tcPr>
            <w:tcW w:w="181"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1,312,886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960"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1,551,682 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Higher education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115,230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174,738 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Supplemental education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231,555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247,181 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Kaplan corporate and other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28,364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34,973 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Education</w:t>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1,688,035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2,008,574 </w:t>
            </w:r>
          </w:p>
        </w:tc>
        <w:tc>
          <w:tcPr>
            <w:tcW w:w="19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Television broadcasting</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381,276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393,097 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CSI</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201,786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128,170 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Other healthcare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194,926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227,457 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Healthcare</w:t>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396,712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355,627 </w:t>
            </w:r>
          </w:p>
        </w:tc>
        <w:tc>
          <w:tcPr>
            <w:tcW w:w="19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Manufacturing</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553,100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535,006 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Automotive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587,305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582,715 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Total Segments</w:t>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3,606,428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3,875,019 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Other businesses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366,190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357,408 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Corporate office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153,296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79,389 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Investments in Marketable Equity Securities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1,083,092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1,081,938 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Investments in Affiliates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208,550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229,565 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Prepaid Pension Cost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2,723,553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2,772,394 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Total Assets</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4"/>
              </w:rPr>
              <w:t>8,141,109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4"/>
              </w:rPr>
            </w:pPr>
            <w:r>
              <w:rPr>
                <w:rFonts w:ascii="Arial;sans-serif" w:hAnsi="Arial;sans-serif"/>
                <w:b w:val="false"/>
                <w:color w:val="000000"/>
                <w:sz w:val="14"/>
              </w:rPr>
              <w:t>$</w:t>
            </w:r>
          </w:p>
        </w:tc>
        <w:tc>
          <w:tcPr>
            <w:tcW w:w="96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4"/>
              </w:rPr>
            </w:pPr>
            <w:r>
              <w:rPr>
                <w:rFonts w:ascii="Arial;sans-serif" w:hAnsi="Arial;sans-serif"/>
                <w:b w:val="false"/>
                <w:color w:val="000000"/>
                <w:sz w:val="14"/>
              </w:rPr>
              <w:t>8,395,713 </w:t>
            </w:r>
          </w:p>
        </w:tc>
        <w:tc>
          <w:tcPr>
            <w:tcW w:w="19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180"/>
        <w:jc w:val="left"/>
        <w:rPr>
          <w:rFonts w:ascii="Arial;sans-serif" w:hAnsi="Arial;sans-serif"/>
          <w:b/>
          <w:color w:val="000000"/>
          <w:sz w:val="20"/>
        </w:rPr>
      </w:pPr>
      <w:r>
        <w:rPr>
          <w:rFonts w:ascii="Arial;sans-serif" w:hAnsi="Arial;sans-serif"/>
          <w:b/>
          <w:color w:val="000000"/>
          <w:sz w:val="20"/>
        </w:rPr>
        <w:t>Item 2. Management’s Discussion and Analysis of Results of Operations and Financial Condition.</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This analysis should be read in conjunction with the condensed consolidated financial statements and the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i/>
          <w:color w:val="000000"/>
          <w:sz w:val="20"/>
        </w:rPr>
      </w:pPr>
      <w:r>
        <w:rPr>
          <w:rFonts w:ascii="Arial;sans-serif" w:hAnsi="Arial;sans-serif"/>
          <w:b/>
          <w:i/>
          <w:color w:val="000000"/>
          <w:sz w:val="20"/>
        </w:rPr>
        <w:t>Results of Operations</w:t>
      </w:r>
    </w:p>
    <w:p>
      <w:pPr>
        <w:pStyle w:val="TextBody"/>
        <w:bidi w:val="0"/>
        <w:spacing w:lineRule="auto" w:line="264" w:before="0" w:after="180"/>
        <w:jc w:val="left"/>
        <w:rPr/>
      </w:pPr>
      <w:r>
        <w:rPr>
          <w:rFonts w:ascii="Arial;sans-serif" w:hAnsi="Arial;sans-serif"/>
          <w:b w:val="false"/>
          <w:color w:val="000000"/>
          <w:sz w:val="20"/>
        </w:rPr>
        <w:t>The Company reported</w:t>
      </w:r>
      <w:r>
        <w:rPr>
          <w:color w:val="000000"/>
          <w:shd w:fill="FFFFFF" w:val="clear"/>
        </w:rPr>
        <w:t xml:space="preserve"> </w:t>
      </w:r>
      <w:r>
        <w:rPr>
          <w:rFonts w:ascii="Arial;sans-serif" w:hAnsi="Arial;sans-serif"/>
          <w:b w:val="false"/>
          <w:color w:val="000000"/>
          <w:sz w:val="20"/>
          <w:shd w:fill="FFFFFF" w:val="clear"/>
        </w:rPr>
        <w:t xml:space="preserve">net </w:t>
      </w:r>
      <w:r>
        <w:rPr>
          <w:rFonts w:ascii="Arial;sans-serif" w:hAnsi="Arial;sans-serif"/>
          <w:b w:val="false"/>
          <w:color w:val="000000"/>
          <w:sz w:val="20"/>
        </w:rPr>
        <w:t xml:space="preserve">income attributable to common shares of </w:t>
      </w:r>
      <w:r>
        <w:rPr>
          <w:rFonts w:ascii="Arial;sans-serif" w:hAnsi="Arial;sans-serif"/>
          <w:b w:val="false"/>
          <w:color w:val="000000"/>
          <w:sz w:val="20"/>
          <w:shd w:fill="FFFFFF" w:val="clear"/>
        </w:rPr>
        <w:t>$281.1 million</w:t>
      </w:r>
      <w:r>
        <w:rPr>
          <w:color w:val="000000"/>
        </w:rPr>
        <w:t xml:space="preserve"> </w:t>
      </w:r>
      <w:r>
        <w:rPr>
          <w:rFonts w:ascii="Arial;sans-serif" w:hAnsi="Arial;sans-serif"/>
          <w:b w:val="false"/>
          <w:color w:val="000000"/>
          <w:sz w:val="20"/>
        </w:rPr>
        <w:t>(</w:t>
      </w:r>
      <w:r>
        <w:rPr>
          <w:rFonts w:ascii="Arial;sans-serif" w:hAnsi="Arial;sans-serif"/>
          <w:b w:val="false"/>
          <w:color w:val="000000"/>
          <w:sz w:val="20"/>
          <w:shd w:fill="FFFFFF" w:val="clear"/>
        </w:rPr>
        <w:t>$64.86</w:t>
      </w:r>
      <w:r>
        <w:rPr>
          <w:color w:val="000000"/>
        </w:rPr>
        <w:t xml:space="preserve"> </w:t>
      </w:r>
      <w:r>
        <w:rPr>
          <w:rFonts w:ascii="Arial;sans-serif" w:hAnsi="Arial;sans-serif"/>
          <w:b w:val="false"/>
          <w:color w:val="000000"/>
          <w:sz w:val="20"/>
        </w:rPr>
        <w:t>per share) for the second quarter of 2026, compared to $36.7 million ($8.35 per share) for the second quarter of 2025.</w:t>
      </w:r>
    </w:p>
    <w:p>
      <w:pPr>
        <w:pStyle w:val="TextBody"/>
        <w:bidi w:val="0"/>
        <w:spacing w:lineRule="auto" w:line="264" w:before="0" w:after="180"/>
        <w:jc w:val="left"/>
        <w:rPr/>
      </w:pPr>
      <w:r>
        <w:rPr>
          <w:rFonts w:ascii="Arial;sans-serif" w:hAnsi="Arial;sans-serif"/>
          <w:b w:val="false"/>
          <w:color w:val="000000"/>
          <w:sz w:val="20"/>
        </w:rPr>
        <w:t>Items included in the Company’s ne</w:t>
      </w:r>
      <w:r>
        <w:rPr>
          <w:rFonts w:ascii="Arial;sans-serif" w:hAnsi="Arial;sans-serif"/>
          <w:b w:val="false"/>
          <w:color w:val="000000"/>
          <w:sz w:val="20"/>
          <w:shd w:fill="FFFFFF" w:val="clear"/>
        </w:rPr>
        <w:t>t income fo</w:t>
      </w:r>
      <w:r>
        <w:rPr>
          <w:rFonts w:ascii="Arial;sans-serif" w:hAnsi="Arial;sans-serif"/>
          <w:b w:val="false"/>
          <w:color w:val="000000"/>
          <w:sz w:val="20"/>
        </w:rPr>
        <w:t>r the second quarter of 2026:</w:t>
      </w:r>
    </w:p>
    <w:p>
      <w:pPr>
        <w:pStyle w:val="TextBody"/>
        <w:bidi w:val="0"/>
        <w:spacing w:lineRule="auto" w:line="264" w:before="0" w:after="180"/>
        <w:ind w:left="0" w:right="0" w:hanging="180"/>
        <w:jc w:val="left"/>
        <w:rPr/>
      </w:pPr>
      <w:r>
        <w:rPr>
          <w:color w:val="000000"/>
        </w:rPr>
        <w:t>•</w:t>
      </w:r>
      <w:r>
        <w:rPr>
          <w:rFonts w:ascii="Arial;sans-serif" w:hAnsi="Arial;sans-serif"/>
          <w:b w:val="false"/>
          <w:color w:val="000000"/>
          <w:sz w:val="20"/>
        </w:rPr>
        <w:t>a $137.0 million settlement gain related to a retiree annuity pension purchase (after-tax impact of $101.3 million, or $23.38 per share);</w:t>
      </w:r>
    </w:p>
    <w:p>
      <w:pPr>
        <w:pStyle w:val="TextBody"/>
        <w:bidi w:val="0"/>
        <w:spacing w:lineRule="auto" w:line="264" w:before="0" w:after="180"/>
        <w:ind w:left="0" w:right="0" w:hanging="180"/>
        <w:jc w:val="left"/>
        <w:rPr/>
      </w:pPr>
      <w:r>
        <w:rPr>
          <w:color w:val="000000"/>
        </w:rPr>
        <w:t>•</w:t>
      </w:r>
      <w:r>
        <w:rPr>
          <w:rFonts w:ascii="Arial;sans-serif" w:hAnsi="Arial;sans-serif"/>
          <w:b w:val="false"/>
          <w:color w:val="000000"/>
          <w:sz w:val="20"/>
        </w:rPr>
        <w:t>$3.8 million in non-operating expenses related to Separation Incentive Programs (SIPs) and a Voluntary Retirement Incentive Program (VRIP) at the education, television broadcasting and manufacturing divisions, and other businesses (after-tax impact of $2.8 million, or $0.66 per share);</w:t>
      </w:r>
    </w:p>
    <w:p>
      <w:pPr>
        <w:pStyle w:val="TextBody"/>
        <w:bidi w:val="0"/>
        <w:spacing w:lineRule="auto" w:line="264" w:before="0" w:after="180"/>
        <w:ind w:left="0" w:right="0" w:hanging="180"/>
        <w:jc w:val="left"/>
        <w:rPr/>
      </w:pPr>
      <w:r>
        <w:rPr>
          <w:color w:val="000000"/>
          <w:shd w:fill="FFFFFF" w:val="clear"/>
        </w:rPr>
        <w:t>•</w:t>
      </w:r>
      <w:r>
        <w:rPr>
          <w:rFonts w:ascii="Arial;sans-serif" w:hAnsi="Arial;sans-serif"/>
          <w:b w:val="false"/>
          <w:color w:val="000000"/>
          <w:sz w:val="20"/>
          <w:shd w:fill="FFFFFF" w:val="clear"/>
        </w:rPr>
        <w:t xml:space="preserve">$0.2 million in interest income to adjust the fair value of the mandatorily redeemable noncontrolling interest (after-tax impact of $0.2 million, or $0.05 per share); </w:t>
      </w:r>
    </w:p>
    <w:p>
      <w:pPr>
        <w:pStyle w:val="TextBody"/>
        <w:bidi w:val="0"/>
        <w:spacing w:lineRule="auto" w:line="264" w:before="0" w:after="180"/>
        <w:ind w:left="0" w:right="0" w:hanging="180"/>
        <w:jc w:val="left"/>
        <w:rPr/>
      </w:pPr>
      <w:r>
        <w:rPr>
          <w:color w:val="000000"/>
          <w:shd w:fill="FFFFFF" w:val="clear"/>
        </w:rPr>
        <w:t>•</w:t>
      </w:r>
      <w:r>
        <w:rPr>
          <w:rFonts w:ascii="Arial;sans-serif" w:hAnsi="Arial;sans-serif"/>
          <w:b w:val="false"/>
          <w:color w:val="000000"/>
          <w:sz w:val="20"/>
          <w:shd w:fill="FFFFFF" w:val="clear"/>
        </w:rPr>
        <w:t>$101.9 million in net gains on marketable eq</w:t>
      </w:r>
      <w:r>
        <w:rPr>
          <w:rFonts w:ascii="Arial;sans-serif" w:hAnsi="Arial;sans-serif"/>
          <w:b w:val="false"/>
          <w:color w:val="000000"/>
          <w:sz w:val="20"/>
        </w:rPr>
        <w:t>uity securities (after-tax impact of $75.9 million, or $17.50 per share);</w:t>
      </w:r>
    </w:p>
    <w:p>
      <w:pPr>
        <w:pStyle w:val="TextBody"/>
        <w:bidi w:val="0"/>
        <w:spacing w:lineRule="auto" w:line="264" w:before="0" w:after="180"/>
        <w:ind w:left="0" w:right="0" w:hanging="180"/>
        <w:jc w:val="left"/>
        <w:rPr/>
      </w:pPr>
      <w:r>
        <w:rPr>
          <w:color w:val="000000"/>
        </w:rPr>
        <w:t>•</w:t>
      </w:r>
      <w:r>
        <w:rPr>
          <w:rFonts w:ascii="Arial;sans-serif" w:hAnsi="Arial;sans-serif"/>
          <w:b w:val="false"/>
          <w:color w:val="000000"/>
          <w:sz w:val="20"/>
        </w:rPr>
        <w:t>$17.9 million in net losses</w:t>
      </w:r>
      <w:r>
        <w:rPr>
          <w:color w:val="000000"/>
          <w:shd w:fill="FFFFFF" w:val="clear"/>
        </w:rPr>
        <w:t xml:space="preserve"> </w:t>
      </w:r>
      <w:r>
        <w:rPr>
          <w:rFonts w:ascii="Arial;sans-serif" w:hAnsi="Arial;sans-serif"/>
          <w:b w:val="false"/>
          <w:color w:val="000000"/>
          <w:sz w:val="20"/>
          <w:shd w:fill="FFFFFF" w:val="clear"/>
        </w:rPr>
        <w:t>of affiliates whose operations are not managed by the Company (after-tax impact of $13.3 million, or $3.08 per share);</w:t>
      </w:r>
    </w:p>
    <w:p>
      <w:pPr>
        <w:pStyle w:val="TextBody"/>
        <w:bidi w:val="0"/>
        <w:spacing w:lineRule="auto" w:line="264" w:before="0" w:after="180"/>
        <w:ind w:left="0" w:right="0" w:hanging="180"/>
        <w:jc w:val="left"/>
        <w:rPr/>
      </w:pPr>
      <w:r>
        <w:rPr>
          <w:color w:val="000000"/>
          <w:shd w:fill="FFFFFF" w:val="clear"/>
        </w:rPr>
        <w:t>•</w:t>
      </w:r>
      <w:r>
        <w:rPr>
          <w:rFonts w:ascii="Arial;sans-serif" w:hAnsi="Arial;sans-serif"/>
          <w:b w:val="false"/>
          <w:color w:val="000000"/>
          <w:sz w:val="20"/>
        </w:rPr>
        <w:t xml:space="preserve">a </w:t>
      </w:r>
      <w:r>
        <w:rPr>
          <w:rFonts w:ascii="Arial;sans-serif" w:hAnsi="Arial;sans-serif"/>
          <w:b w:val="false"/>
          <w:color w:val="000000"/>
          <w:sz w:val="20"/>
          <w:shd w:fill="FFFFFF" w:val="clear"/>
        </w:rPr>
        <w:t>$5.2 million</w:t>
      </w:r>
      <w:r>
        <w:rPr>
          <w:color w:val="000000"/>
        </w:rPr>
        <w:t xml:space="preserve"> </w:t>
      </w:r>
      <w:r>
        <w:rPr>
          <w:rFonts w:ascii="Arial;sans-serif" w:hAnsi="Arial;sans-serif"/>
          <w:b w:val="false"/>
          <w:color w:val="000000"/>
          <w:sz w:val="20"/>
        </w:rPr>
        <w:t xml:space="preserve">loss on the sale of Kaplan Languages Group (KLG) (after-tax impact of </w:t>
      </w:r>
      <w:r>
        <w:rPr>
          <w:rFonts w:ascii="Arial;sans-serif" w:hAnsi="Arial;sans-serif"/>
          <w:b w:val="false"/>
          <w:color w:val="000000"/>
          <w:sz w:val="20"/>
          <w:shd w:fill="FFFFFF" w:val="clear"/>
        </w:rPr>
        <w:t>$10.4 million</w:t>
      </w:r>
      <w:r>
        <w:rPr>
          <w:rFonts w:ascii="Arial;sans-serif" w:hAnsi="Arial;sans-serif"/>
          <w:b w:val="false"/>
          <w:color w:val="000000"/>
          <w:sz w:val="20"/>
        </w:rPr>
        <w:t>, or</w:t>
      </w:r>
      <w:r>
        <w:rPr>
          <w:color w:val="000000"/>
          <w:shd w:fill="FFFFFF" w:val="clear"/>
        </w:rPr>
        <w:t xml:space="preserve"> </w:t>
      </w:r>
      <w:r>
        <w:rPr>
          <w:rFonts w:ascii="Arial;sans-serif" w:hAnsi="Arial;sans-serif"/>
          <w:b w:val="false"/>
          <w:color w:val="000000"/>
          <w:sz w:val="20"/>
          <w:shd w:fill="FFFFFF" w:val="clear"/>
        </w:rPr>
        <w:t>$2.41</w:t>
      </w:r>
      <w:r>
        <w:rPr>
          <w:color w:val="000000"/>
        </w:rPr>
        <w:t xml:space="preserve"> </w:t>
      </w:r>
      <w:r>
        <w:rPr>
          <w:rFonts w:ascii="Arial;sans-serif" w:hAnsi="Arial;sans-serif"/>
          <w:b w:val="false"/>
          <w:color w:val="000000"/>
          <w:sz w:val="20"/>
        </w:rPr>
        <w:t>per share)</w:t>
      </w:r>
      <w:r>
        <w:rPr>
          <w:rFonts w:ascii="Arial;sans-serif" w:hAnsi="Arial;sans-serif"/>
          <w:b w:val="false"/>
          <w:color w:val="000000"/>
          <w:sz w:val="20"/>
          <w:shd w:fill="FFFFFF" w:val="clear"/>
        </w:rPr>
        <w:t>;</w:t>
      </w:r>
    </w:p>
    <w:p>
      <w:pPr>
        <w:pStyle w:val="TextBody"/>
        <w:bidi w:val="0"/>
        <w:spacing w:lineRule="auto" w:line="264" w:before="0" w:after="180"/>
        <w:ind w:left="0" w:right="0" w:hanging="180"/>
        <w:jc w:val="left"/>
        <w:rPr/>
      </w:pPr>
      <w:r>
        <w:rPr>
          <w:color w:val="000000"/>
          <w:shd w:fill="FFFFFF" w:val="clear"/>
        </w:rPr>
        <w:t>•</w:t>
      </w:r>
      <w:r>
        <w:rPr>
          <w:rFonts w:ascii="Arial;sans-serif" w:hAnsi="Arial;sans-serif"/>
          <w:b w:val="false"/>
          <w:color w:val="000000"/>
          <w:sz w:val="20"/>
          <w:shd w:fill="FFFFFF" w:val="clear"/>
        </w:rPr>
        <w:t>a non-operating loss of $5.8 million from the impairment of an equity method investment (after-tax impact of $4.3 million, or $1.00 per share);</w:t>
      </w:r>
    </w:p>
    <w:p>
      <w:pPr>
        <w:pStyle w:val="TextBody"/>
        <w:bidi w:val="0"/>
        <w:spacing w:lineRule="auto" w:line="264" w:before="0" w:after="180"/>
        <w:ind w:left="0" w:right="0" w:hanging="180"/>
        <w:jc w:val="left"/>
        <w:rPr/>
      </w:pPr>
      <w:r>
        <w:rPr>
          <w:color w:val="000000"/>
        </w:rPr>
        <w:t>•</w:t>
      </w:r>
      <w:r>
        <w:rPr>
          <w:rFonts w:ascii="Arial;sans-serif" w:hAnsi="Arial;sans-serif"/>
          <w:b w:val="false"/>
          <w:color w:val="000000"/>
          <w:sz w:val="20"/>
        </w:rPr>
        <w:t>a $69.6 million income tax benefit related to the KLG business ($16.05 per share); and</w:t>
      </w:r>
    </w:p>
    <w:p>
      <w:pPr>
        <w:pStyle w:val="TextBody"/>
        <w:bidi w:val="0"/>
        <w:spacing w:lineRule="auto" w:line="264" w:before="0" w:after="180"/>
        <w:ind w:left="0" w:right="0" w:hanging="180"/>
        <w:jc w:val="left"/>
        <w:rPr/>
      </w:pPr>
      <w:r>
        <w:rPr>
          <w:color w:val="000000"/>
        </w:rPr>
        <w:t>•</w:t>
      </w:r>
      <w:r>
        <w:rPr>
          <w:rFonts w:ascii="Arial;sans-serif" w:hAnsi="Arial;sans-serif"/>
          <w:b w:val="false"/>
          <w:color w:val="000000"/>
          <w:sz w:val="20"/>
        </w:rPr>
        <w:t>$19.2 million in income tax expense recorded in connection with global minimum corporate income tax obligations in non-U.S. jurisdictions ($4.43 per share).</w:t>
      </w:r>
    </w:p>
    <w:p>
      <w:pPr>
        <w:pStyle w:val="TextBody"/>
        <w:bidi w:val="0"/>
        <w:spacing w:lineRule="auto" w:line="264"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Items included in the Company’s net income for the second quarter of 2025:</w:t>
      </w:r>
    </w:p>
    <w:p>
      <w:pPr>
        <w:pStyle w:val="TextBody"/>
        <w:bidi w:val="0"/>
        <w:spacing w:lineRule="auto" w:line="264" w:before="0" w:after="180"/>
        <w:ind w:left="0" w:right="0" w:hanging="180"/>
        <w:jc w:val="left"/>
        <w:rPr/>
      </w:pPr>
      <w:r>
        <w:rPr>
          <w:color w:val="000000"/>
          <w:shd w:fill="FFFFFF" w:val="clear"/>
        </w:rPr>
        <w:t>•</w:t>
      </w:r>
      <w:r>
        <w:rPr>
          <w:rFonts w:ascii="Arial;sans-serif" w:hAnsi="Arial;sans-serif"/>
          <w:b w:val="false"/>
          <w:color w:val="000000"/>
          <w:sz w:val="20"/>
          <w:shd w:fill="FFFFFF" w:val="clear"/>
        </w:rPr>
        <w:t>$6.0 million in non-operating expenses related to</w:t>
      </w:r>
      <w:r>
        <w:rPr>
          <w:color w:val="000000"/>
        </w:rPr>
        <w:t xml:space="preserve"> </w:t>
      </w:r>
      <w:r>
        <w:rPr>
          <w:rFonts w:ascii="Arial;sans-serif" w:hAnsi="Arial;sans-serif"/>
          <w:b w:val="false"/>
          <w:color w:val="000000"/>
          <w:sz w:val="20"/>
        </w:rPr>
        <w:t>SIPs at other businesses and the education and television broadcasting divisions (a</w:t>
      </w:r>
      <w:r>
        <w:rPr>
          <w:rFonts w:ascii="Arial;sans-serif" w:hAnsi="Arial;sans-serif"/>
          <w:b w:val="false"/>
          <w:color w:val="000000"/>
          <w:sz w:val="20"/>
          <w:shd w:fill="FFFFFF" w:val="clear"/>
        </w:rPr>
        <w:t>fter-tax impact of $4.5 million</w:t>
      </w:r>
      <w:r>
        <w:rPr>
          <w:rFonts w:ascii="Arial;sans-serif" w:hAnsi="Arial;sans-serif"/>
          <w:b w:val="false"/>
          <w:color w:val="000000"/>
          <w:sz w:val="20"/>
        </w:rPr>
        <w:t>, or</w:t>
      </w:r>
      <w:r>
        <w:rPr>
          <w:color w:val="000000"/>
          <w:shd w:fill="FFFFFF" w:val="clear"/>
        </w:rPr>
        <w:t xml:space="preserve"> </w:t>
      </w:r>
      <w:r>
        <w:rPr>
          <w:rFonts w:ascii="Arial;sans-serif" w:hAnsi="Arial;sans-serif"/>
          <w:b w:val="false"/>
          <w:color w:val="000000"/>
          <w:sz w:val="20"/>
          <w:shd w:fill="FFFFFF" w:val="clear"/>
        </w:rPr>
        <w:t>$1.02</w:t>
      </w:r>
      <w:r>
        <w:rPr>
          <w:color w:val="000000"/>
        </w:rPr>
        <w:t xml:space="preserve"> </w:t>
      </w:r>
      <w:r>
        <w:rPr>
          <w:rFonts w:ascii="Arial;sans-serif" w:hAnsi="Arial;sans-serif"/>
          <w:b w:val="false"/>
          <w:color w:val="000000"/>
          <w:sz w:val="20"/>
        </w:rPr>
        <w:t>per share);</w:t>
      </w:r>
    </w:p>
    <w:p>
      <w:pPr>
        <w:pStyle w:val="TextBody"/>
        <w:bidi w:val="0"/>
        <w:spacing w:lineRule="auto" w:line="264" w:before="0" w:after="180"/>
        <w:ind w:left="0" w:right="0" w:hanging="180"/>
        <w:jc w:val="left"/>
        <w:rPr/>
      </w:pPr>
      <w:r>
        <w:rPr>
          <w:color w:val="000000"/>
        </w:rPr>
        <w:t>•</w:t>
      </w:r>
      <w:r>
        <w:rPr>
          <w:rFonts w:ascii="Arial;sans-serif" w:hAnsi="Arial;sans-serif"/>
          <w:b w:val="false"/>
          <w:color w:val="000000"/>
          <w:sz w:val="20"/>
          <w:shd w:fill="FFFFFF" w:val="clear"/>
        </w:rPr>
        <w:t>$1.2 million</w:t>
      </w:r>
      <w:r>
        <w:rPr>
          <w:color w:val="000000"/>
        </w:rPr>
        <w:t xml:space="preserve"> </w:t>
      </w:r>
      <w:r>
        <w:rPr>
          <w:rFonts w:ascii="Arial;sans-serif" w:hAnsi="Arial;sans-serif"/>
          <w:b w:val="false"/>
          <w:color w:val="000000"/>
          <w:sz w:val="20"/>
        </w:rPr>
        <w:t xml:space="preserve">in interest expense to adjust the fair value of the mandatorily redeemable noncontrolling interest (after-tax impact of </w:t>
      </w:r>
      <w:r>
        <w:rPr>
          <w:rFonts w:ascii="Arial;sans-serif" w:hAnsi="Arial;sans-serif"/>
          <w:b w:val="false"/>
          <w:color w:val="000000"/>
          <w:sz w:val="20"/>
          <w:shd w:fill="FFFFFF" w:val="clear"/>
        </w:rPr>
        <w:t>$3.5 million</w:t>
      </w:r>
      <w:r>
        <w:rPr>
          <w:rFonts w:ascii="Arial;sans-serif" w:hAnsi="Arial;sans-serif"/>
          <w:b w:val="false"/>
          <w:color w:val="000000"/>
          <w:sz w:val="20"/>
        </w:rPr>
        <w:t xml:space="preserve">, or </w:t>
      </w:r>
      <w:r>
        <w:rPr>
          <w:rFonts w:ascii="Arial;sans-serif" w:hAnsi="Arial;sans-serif"/>
          <w:b w:val="false"/>
          <w:color w:val="000000"/>
          <w:sz w:val="20"/>
          <w:shd w:fill="FFFFFF" w:val="clear"/>
        </w:rPr>
        <w:t>$0.79</w:t>
      </w:r>
      <w:r>
        <w:rPr>
          <w:color w:val="000000"/>
        </w:rPr>
        <w:t xml:space="preserve"> </w:t>
      </w:r>
      <w:r>
        <w:rPr>
          <w:rFonts w:ascii="Arial;sans-serif" w:hAnsi="Arial;sans-serif"/>
          <w:b w:val="false"/>
          <w:color w:val="000000"/>
          <w:sz w:val="20"/>
        </w:rPr>
        <w:t>per share);</w:t>
      </w:r>
    </w:p>
    <w:p>
      <w:pPr>
        <w:pStyle w:val="TextBody"/>
        <w:bidi w:val="0"/>
        <w:spacing w:lineRule="auto" w:line="264" w:before="0" w:after="180"/>
        <w:ind w:left="0" w:right="0" w:hanging="180"/>
        <w:jc w:val="left"/>
        <w:rPr/>
      </w:pPr>
      <w:r>
        <w:rPr>
          <w:color w:val="000000"/>
          <w:shd w:fill="FFFFFF" w:val="clear"/>
        </w:rPr>
        <w:t>•</w:t>
      </w:r>
      <w:r>
        <w:rPr>
          <w:rFonts w:ascii="Arial;sans-serif" w:hAnsi="Arial;sans-serif"/>
          <w:b w:val="false"/>
          <w:color w:val="000000"/>
          <w:sz w:val="20"/>
          <w:shd w:fill="FFFFFF" w:val="clear"/>
        </w:rPr>
        <w:t>$11.5 million</w:t>
      </w:r>
      <w:r>
        <w:rPr>
          <w:color w:val="000000"/>
        </w:rPr>
        <w:t xml:space="preserve"> </w:t>
      </w:r>
      <w:r>
        <w:rPr>
          <w:rFonts w:ascii="Arial;sans-serif" w:hAnsi="Arial;sans-serif"/>
          <w:b w:val="false"/>
          <w:color w:val="000000"/>
          <w:sz w:val="20"/>
        </w:rPr>
        <w:t xml:space="preserve">in net losses on marketable equity securities (after-tax impact </w:t>
      </w:r>
      <w:r>
        <w:rPr>
          <w:rFonts w:ascii="Arial;sans-serif" w:hAnsi="Arial;sans-serif"/>
          <w:b w:val="false"/>
          <w:color w:val="000000"/>
          <w:sz w:val="20"/>
          <w:shd w:fill="FFFFFF" w:val="clear"/>
        </w:rPr>
        <w:t xml:space="preserve">of $8.6 million, or </w:t>
      </w:r>
      <w:r>
        <w:rPr>
          <w:rFonts w:ascii="Arial;sans-serif" w:hAnsi="Arial;sans-serif"/>
          <w:b w:val="false"/>
          <w:color w:val="000000"/>
          <w:sz w:val="20"/>
        </w:rPr>
        <w:t>$1.95</w:t>
      </w:r>
      <w:r>
        <w:rPr>
          <w:color w:val="000000"/>
          <w:shd w:fill="FFFFFF" w:val="clear"/>
        </w:rPr>
        <w:t xml:space="preserve"> </w:t>
      </w:r>
      <w:r>
        <w:rPr>
          <w:rFonts w:ascii="Arial;sans-serif" w:hAnsi="Arial;sans-serif"/>
          <w:b w:val="false"/>
          <w:color w:val="000000"/>
          <w:sz w:val="20"/>
          <w:shd w:fill="FFFFFF" w:val="clear"/>
        </w:rPr>
        <w:t>per</w:t>
      </w:r>
      <w:r>
        <w:rPr>
          <w:color w:val="000000"/>
        </w:rPr>
        <w:t xml:space="preserve"> </w:t>
      </w:r>
      <w:r>
        <w:rPr>
          <w:rFonts w:ascii="Arial;sans-serif" w:hAnsi="Arial;sans-serif"/>
          <w:b w:val="false"/>
          <w:color w:val="000000"/>
          <w:sz w:val="20"/>
        </w:rPr>
        <w:t>share);</w:t>
      </w:r>
    </w:p>
    <w:p>
      <w:pPr>
        <w:pStyle w:val="TextBody"/>
        <w:bidi w:val="0"/>
        <w:spacing w:lineRule="auto" w:line="264" w:before="0" w:after="180"/>
        <w:ind w:left="0" w:right="0" w:hanging="180"/>
        <w:jc w:val="left"/>
        <w:rPr/>
      </w:pPr>
      <w:r>
        <w:rPr>
          <w:color w:val="000000"/>
        </w:rPr>
        <w:t>•</w:t>
      </w:r>
      <w:r>
        <w:rPr>
          <w:rFonts w:ascii="Arial;sans-serif" w:hAnsi="Arial;sans-serif"/>
          <w:b w:val="false"/>
          <w:color w:val="000000"/>
          <w:sz w:val="20"/>
        </w:rPr>
        <w:t>$0.4 million in net losses of affiliates whose operations are not managed by the Company (after-tax impact of $0.3 million, or $0.07 per share); and</w:t>
      </w:r>
    </w:p>
    <w:p>
      <w:pPr>
        <w:pStyle w:val="TextBody"/>
        <w:bidi w:val="0"/>
        <w:spacing w:lineRule="auto" w:line="264" w:before="0" w:after="180"/>
        <w:ind w:left="0" w:right="0" w:hanging="180"/>
        <w:jc w:val="left"/>
        <w:rPr/>
      </w:pPr>
      <w:r>
        <w:rPr>
          <w:color w:val="000000"/>
        </w:rPr>
        <w:t>•</w:t>
      </w:r>
      <w:r>
        <w:rPr>
          <w:rFonts w:ascii="Arial;sans-serif" w:hAnsi="Arial;sans-serif"/>
          <w:b w:val="false"/>
          <w:color w:val="000000"/>
          <w:sz w:val="20"/>
        </w:rPr>
        <w:t>a non-operating loss of $12.7 million from the impairment of a cost method investment (after-tax impact of $9.5 million, or $2.15 per share).</w:t>
      </w:r>
    </w:p>
    <w:p>
      <w:pPr>
        <w:pStyle w:val="TextBody"/>
        <w:bidi w:val="0"/>
        <w:spacing w:lineRule="auto" w:line="264" w:before="0" w:after="180"/>
        <w:jc w:val="left"/>
        <w:rPr/>
      </w:pPr>
      <w:r>
        <w:rPr>
          <w:rFonts w:ascii="Arial;sans-serif" w:hAnsi="Arial;sans-serif"/>
          <w:b w:val="false"/>
          <w:color w:val="000000"/>
          <w:sz w:val="20"/>
        </w:rPr>
        <w:t xml:space="preserve">Revenue for the second quarter of 2026 was $1,302.5 million, up 7% from $1,215.8 million in the second quarter of 2025. Revenues increased at television broadcasting, healthcare, manufacturing, automotive and other businesses, partially offset by a decline at education. </w:t>
      </w:r>
      <w:r>
        <w:rPr>
          <w:rFonts w:ascii="Arial;sans-serif" w:hAnsi="Arial;sans-serif"/>
          <w:b w:val="false"/>
          <w:color w:val="000000"/>
          <w:sz w:val="20"/>
          <w:shd w:fill="FFFFFF" w:val="clear"/>
        </w:rPr>
        <w:t>T</w:t>
      </w:r>
      <w:r>
        <w:rPr>
          <w:rFonts w:ascii="Arial;sans-serif" w:hAnsi="Arial;sans-serif"/>
          <w:b w:val="false"/>
          <w:color w:val="000000"/>
          <w:sz w:val="20"/>
        </w:rPr>
        <w:t xml:space="preserve">he Company reported operating income of </w:t>
      </w:r>
      <w:r>
        <w:rPr>
          <w:rFonts w:ascii="Arial;sans-serif" w:hAnsi="Arial;sans-serif"/>
          <w:b w:val="false"/>
          <w:color w:val="000000"/>
          <w:sz w:val="20"/>
          <w:shd w:fill="FFFFFF" w:val="clear"/>
        </w:rPr>
        <w:t>$83.6 million</w:t>
      </w:r>
      <w:r>
        <w:rPr>
          <w:color w:val="000000"/>
        </w:rPr>
        <w:t xml:space="preserve"> </w:t>
      </w:r>
      <w:r>
        <w:rPr>
          <w:rFonts w:ascii="Arial;sans-serif" w:hAnsi="Arial;sans-serif"/>
          <w:b w:val="false"/>
          <w:color w:val="000000"/>
          <w:sz w:val="20"/>
        </w:rPr>
        <w:t>for the second quarter of 2026, compared to $72.8 million for the second quarter of 2025. T</w:t>
      </w:r>
      <w:r>
        <w:rPr>
          <w:rFonts w:ascii="Arial;sans-serif" w:hAnsi="Arial;sans-serif"/>
          <w:b w:val="false"/>
          <w:color w:val="000000"/>
          <w:sz w:val="20"/>
          <w:shd w:fill="FFFFFF" w:val="clear"/>
        </w:rPr>
        <w:t xml:space="preserve">he increase in operating results is due to </w:t>
      </w:r>
      <w:r>
        <w:rPr>
          <w:rFonts w:ascii="Arial;sans-serif" w:hAnsi="Arial;sans-serif"/>
          <w:b w:val="false"/>
          <w:color w:val="000000"/>
          <w:sz w:val="20"/>
        </w:rPr>
        <w:t>improved results at education, television broadcasting and other businesses, partially offset by declines at healthcare, manufacturing and automotive.</w:t>
      </w:r>
    </w:p>
    <w:p>
      <w:pPr>
        <w:pStyle w:val="TextBody"/>
        <w:bidi w:val="0"/>
        <w:spacing w:lineRule="auto" w:line="264" w:before="0" w:after="180"/>
        <w:jc w:val="left"/>
        <w:rPr/>
      </w:pPr>
      <w:r>
        <w:rPr>
          <w:rFonts w:ascii="Arial;sans-serif" w:hAnsi="Arial;sans-serif"/>
          <w:b w:val="false"/>
          <w:color w:val="000000"/>
          <w:sz w:val="20"/>
        </w:rPr>
        <w:t>For the first six months of 2026, the Company reported net income attributable to common shares of $310.2 million ($71.04 per share), compared to $60.6 million ($13.81</w:t>
      </w:r>
      <w:r>
        <w:rPr>
          <w:color w:val="000000"/>
          <w:shd w:fill="FFFFFF" w:val="clear"/>
        </w:rPr>
        <w:t xml:space="preserve"> </w:t>
      </w:r>
      <w:r>
        <w:rPr>
          <w:rFonts w:ascii="Arial;sans-serif" w:hAnsi="Arial;sans-serif"/>
          <w:b w:val="false"/>
          <w:color w:val="000000"/>
          <w:sz w:val="20"/>
          <w:shd w:fill="FFFFFF" w:val="clear"/>
        </w:rPr>
        <w:t xml:space="preserve">per share) for the first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of </w:t>
      </w:r>
      <w:r>
        <w:rPr>
          <w:rFonts w:ascii="Arial;sans-serif" w:hAnsi="Arial;sans-serif"/>
          <w:b w:val="false"/>
          <w:color w:val="000000"/>
          <w:sz w:val="20"/>
        </w:rPr>
        <w:t>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Items included in the Company’s net income for the first six months of 2026:</w:t>
      </w:r>
    </w:p>
    <w:p>
      <w:pPr>
        <w:pStyle w:val="TextBody"/>
        <w:bidi w:val="0"/>
        <w:spacing w:lineRule="auto" w:line="264" w:before="0" w:after="120"/>
        <w:ind w:left="0" w:right="0" w:hanging="180"/>
        <w:jc w:val="left"/>
        <w:rPr/>
      </w:pPr>
      <w:r>
        <w:rPr>
          <w:color w:val="000000"/>
          <w:shd w:fill="FFFFFF" w:val="clear"/>
        </w:rPr>
        <w:t>•</w:t>
      </w:r>
      <w:r>
        <w:rPr>
          <w:rFonts w:ascii="Arial;sans-serif" w:hAnsi="Arial;sans-serif"/>
          <w:b w:val="false"/>
          <w:color w:val="000000"/>
          <w:sz w:val="20"/>
        </w:rPr>
        <w:t>$24.2 million</w:t>
      </w:r>
      <w:r>
        <w:rPr>
          <w:color w:val="000000"/>
          <w:shd w:fill="FFFFFF" w:val="clear"/>
        </w:rPr>
        <w:t xml:space="preserve"> </w:t>
      </w:r>
      <w:r>
        <w:rPr>
          <w:rFonts w:ascii="Arial;sans-serif" w:hAnsi="Arial;sans-serif"/>
          <w:b w:val="false"/>
          <w:color w:val="000000"/>
          <w:sz w:val="20"/>
          <w:shd w:fill="FFFFFF" w:val="clear"/>
        </w:rPr>
        <w:t>of impairment charges and loss on sale related to KLG</w:t>
      </w:r>
      <w:r>
        <w:rPr>
          <w:color w:val="000000"/>
        </w:rPr>
        <w:t xml:space="preserve"> </w:t>
      </w:r>
      <w:r>
        <w:rPr>
          <w:rFonts w:ascii="Arial;sans-serif" w:hAnsi="Arial;sans-serif"/>
          <w:b w:val="false"/>
          <w:color w:val="000000"/>
          <w:sz w:val="20"/>
        </w:rPr>
        <w:t>(aft</w:t>
      </w:r>
      <w:r>
        <w:rPr>
          <w:rFonts w:ascii="Arial;sans-serif" w:hAnsi="Arial;sans-serif"/>
          <w:b w:val="false"/>
          <w:color w:val="000000"/>
          <w:sz w:val="20"/>
          <w:shd w:fill="FFFFFF" w:val="clear"/>
        </w:rPr>
        <w:t xml:space="preserve">er-tax impact of </w:t>
      </w:r>
      <w:r>
        <w:rPr>
          <w:rFonts w:ascii="Arial;sans-serif" w:hAnsi="Arial;sans-serif"/>
          <w:b w:val="false"/>
          <w:color w:val="000000"/>
          <w:sz w:val="20"/>
        </w:rPr>
        <w:t>$24.8 million,</w:t>
      </w:r>
      <w:r>
        <w:rPr>
          <w:color w:val="000000"/>
          <w:shd w:fill="FFFFFF" w:val="clear"/>
        </w:rPr>
        <w:t xml:space="preserve"> </w:t>
      </w:r>
      <w:r>
        <w:rPr>
          <w:rFonts w:ascii="Arial;sans-serif" w:hAnsi="Arial;sans-serif"/>
          <w:b w:val="false"/>
          <w:color w:val="000000"/>
          <w:sz w:val="20"/>
          <w:shd w:fill="FFFFFF" w:val="clear"/>
        </w:rPr>
        <w:t xml:space="preserve">or </w:t>
      </w:r>
      <w:r>
        <w:rPr>
          <w:rFonts w:ascii="Arial;sans-serif" w:hAnsi="Arial;sans-serif"/>
          <w:b w:val="false"/>
          <w:color w:val="000000"/>
          <w:sz w:val="20"/>
        </w:rPr>
        <w:t>$5.67</w:t>
      </w:r>
      <w:r>
        <w:rPr>
          <w:color w:val="000000"/>
          <w:shd w:fill="FFFFFF" w:val="clear"/>
        </w:rPr>
        <w:t xml:space="preserve"> </w:t>
      </w:r>
      <w:r>
        <w:rPr>
          <w:rFonts w:ascii="Arial;sans-serif" w:hAnsi="Arial;sans-serif"/>
          <w:b w:val="false"/>
          <w:color w:val="000000"/>
          <w:sz w:val="20"/>
          <w:shd w:fill="FFFFFF" w:val="clear"/>
        </w:rPr>
        <w:t>per share);</w:t>
      </w:r>
    </w:p>
    <w:p>
      <w:pPr>
        <w:pStyle w:val="TextBody"/>
        <w:bidi w:val="0"/>
        <w:spacing w:lineRule="auto" w:line="264" w:before="0" w:after="120"/>
        <w:ind w:left="0" w:right="0" w:hanging="180"/>
        <w:jc w:val="left"/>
        <w:rPr/>
      </w:pPr>
      <w:r>
        <w:rPr>
          <w:color w:val="000000"/>
          <w:shd w:fill="FFFFFF" w:val="clear"/>
        </w:rPr>
        <w:t>•</w:t>
      </w:r>
      <w:r>
        <w:rPr>
          <w:rFonts w:ascii="Arial;sans-serif" w:hAnsi="Arial;sans-serif"/>
          <w:b w:val="false"/>
          <w:color w:val="000000"/>
          <w:sz w:val="20"/>
        </w:rPr>
        <w:t>a $137.0 million settlement gain related to a retiree annuity pension purchase (after-tax impact of $101.3 million, or $23.21 per share);</w:t>
      </w:r>
    </w:p>
    <w:p>
      <w:pPr>
        <w:pStyle w:val="TextBody"/>
        <w:bidi w:val="0"/>
        <w:spacing w:lineRule="auto" w:line="264" w:before="0" w:after="120"/>
        <w:ind w:left="0" w:right="0" w:hanging="180"/>
        <w:jc w:val="left"/>
        <w:rPr/>
      </w:pPr>
      <w:r>
        <w:rPr>
          <w:color w:val="000000"/>
          <w:shd w:fill="FFFFFF" w:val="clear"/>
        </w:rPr>
        <w:t>•</w:t>
      </w:r>
      <w:r>
        <w:rPr>
          <w:rFonts w:ascii="Arial;sans-serif" w:hAnsi="Arial;sans-serif"/>
          <w:b w:val="false"/>
          <w:color w:val="000000"/>
          <w:sz w:val="20"/>
        </w:rPr>
        <w:t>$7.9 million</w:t>
      </w:r>
      <w:r>
        <w:rPr>
          <w:color w:val="000000"/>
          <w:shd w:fill="FFFFFF" w:val="clear"/>
        </w:rPr>
        <w:t xml:space="preserve"> </w:t>
      </w:r>
      <w:r>
        <w:rPr>
          <w:rFonts w:ascii="Arial;sans-serif" w:hAnsi="Arial;sans-serif"/>
          <w:b w:val="false"/>
          <w:color w:val="000000"/>
          <w:sz w:val="20"/>
          <w:shd w:fill="FFFFFF" w:val="clear"/>
        </w:rPr>
        <w:t xml:space="preserve">in non-operating </w:t>
      </w:r>
      <w:r>
        <w:rPr>
          <w:rFonts w:ascii="Arial;sans-serif" w:hAnsi="Arial;sans-serif"/>
          <w:b w:val="false"/>
          <w:color w:val="000000"/>
          <w:sz w:val="20"/>
        </w:rPr>
        <w:t xml:space="preserve">expenses </w:t>
      </w:r>
      <w:r>
        <w:rPr>
          <w:rFonts w:ascii="Arial;sans-serif" w:hAnsi="Arial;sans-serif"/>
          <w:b w:val="false"/>
          <w:color w:val="000000"/>
          <w:sz w:val="20"/>
          <w:shd w:fill="FFFFFF" w:val="clear"/>
        </w:rPr>
        <w:t xml:space="preserve">related to SIPs and a VRIP at </w:t>
      </w:r>
      <w:r>
        <w:rPr>
          <w:rFonts w:ascii="Arial;sans-serif" w:hAnsi="Arial;sans-serif"/>
          <w:b w:val="false"/>
          <w:color w:val="000000"/>
          <w:sz w:val="20"/>
        </w:rPr>
        <w:t>education, television broadcasting and manufacturing divisions, other businesses and the corporate office</w:t>
      </w:r>
      <w:r>
        <w:rPr>
          <w:color w:val="000000"/>
          <w:shd w:fill="FFFFFF" w:val="clear"/>
        </w:rPr>
        <w:t xml:space="preserve"> </w:t>
      </w:r>
      <w:r>
        <w:rPr>
          <w:rFonts w:ascii="Arial;sans-serif" w:hAnsi="Arial;sans-serif"/>
          <w:b w:val="false"/>
          <w:color w:val="000000"/>
          <w:sz w:val="20"/>
          <w:shd w:fill="FFFFFF" w:val="clear"/>
        </w:rPr>
        <w:t xml:space="preserve">(after-tax impact of </w:t>
      </w:r>
      <w:r>
        <w:rPr>
          <w:rFonts w:ascii="Arial;sans-serif" w:hAnsi="Arial;sans-serif"/>
          <w:b w:val="false"/>
          <w:color w:val="000000"/>
          <w:sz w:val="20"/>
        </w:rPr>
        <w:t>$5.9 million</w:t>
      </w:r>
      <w:r>
        <w:rPr>
          <w:rFonts w:ascii="Arial;sans-serif" w:hAnsi="Arial;sans-serif"/>
          <w:b w:val="false"/>
          <w:color w:val="000000"/>
          <w:sz w:val="20"/>
          <w:shd w:fill="FFFFFF" w:val="clear"/>
        </w:rPr>
        <w:t xml:space="preserve">, or </w:t>
      </w:r>
      <w:r>
        <w:rPr>
          <w:rFonts w:ascii="Arial;sans-serif" w:hAnsi="Arial;sans-serif"/>
          <w:b w:val="false"/>
          <w:color w:val="000000"/>
          <w:sz w:val="20"/>
        </w:rPr>
        <w:t>$1.34</w:t>
      </w:r>
      <w:r>
        <w:rPr>
          <w:color w:val="000000"/>
          <w:shd w:fill="FFFFFF" w:val="clear"/>
        </w:rPr>
        <w:t xml:space="preserve"> </w:t>
      </w:r>
      <w:r>
        <w:rPr>
          <w:rFonts w:ascii="Arial;sans-serif" w:hAnsi="Arial;sans-serif"/>
          <w:b w:val="false"/>
          <w:color w:val="000000"/>
          <w:sz w:val="20"/>
          <w:shd w:fill="FFFFFF" w:val="clear"/>
        </w:rPr>
        <w:t>per share);</w:t>
      </w:r>
    </w:p>
    <w:p>
      <w:pPr>
        <w:pStyle w:val="TextBody"/>
        <w:bidi w:val="0"/>
        <w:spacing w:lineRule="auto" w:line="264" w:before="0" w:after="120"/>
        <w:ind w:left="0" w:right="0" w:hanging="180"/>
        <w:jc w:val="left"/>
        <w:rPr/>
      </w:pPr>
      <w:r>
        <w:rPr>
          <w:color w:val="000000"/>
          <w:shd w:fill="FFFFFF" w:val="clear"/>
        </w:rPr>
        <w:t>•</w:t>
      </w:r>
      <w:r>
        <w:rPr>
          <w:rFonts w:ascii="Arial;sans-serif" w:hAnsi="Arial;sans-serif"/>
          <w:b w:val="false"/>
          <w:color w:val="000000"/>
          <w:sz w:val="20"/>
        </w:rPr>
        <w:t>$0.9 million</w:t>
      </w:r>
      <w:r>
        <w:rPr>
          <w:color w:val="000000"/>
          <w:shd w:fill="FFFFFF" w:val="clear"/>
        </w:rPr>
        <w:t xml:space="preserve"> </w:t>
      </w:r>
      <w:r>
        <w:rPr>
          <w:rFonts w:ascii="Arial;sans-serif" w:hAnsi="Arial;sans-serif"/>
          <w:b w:val="false"/>
          <w:color w:val="000000"/>
          <w:sz w:val="20"/>
          <w:shd w:fill="FFFFFF" w:val="clear"/>
        </w:rPr>
        <w:t xml:space="preserve">in interest income to adjust the fair value of the mandatorily redeemable noncontrolling interest (after-tax impact of </w:t>
      </w:r>
      <w:r>
        <w:rPr>
          <w:rFonts w:ascii="Arial;sans-serif" w:hAnsi="Arial;sans-serif"/>
          <w:b w:val="false"/>
          <w:color w:val="000000"/>
          <w:sz w:val="20"/>
        </w:rPr>
        <w:t>$0.8 million</w:t>
      </w:r>
      <w:r>
        <w:rPr>
          <w:rFonts w:ascii="Arial;sans-serif" w:hAnsi="Arial;sans-serif"/>
          <w:b w:val="false"/>
          <w:color w:val="000000"/>
          <w:sz w:val="20"/>
          <w:shd w:fill="FFFFFF" w:val="clear"/>
        </w:rPr>
        <w:t xml:space="preserve">, or </w:t>
      </w:r>
      <w:r>
        <w:rPr>
          <w:rFonts w:ascii="Arial;sans-serif" w:hAnsi="Arial;sans-serif"/>
          <w:b w:val="false"/>
          <w:color w:val="000000"/>
          <w:sz w:val="20"/>
        </w:rPr>
        <w:t>$0.17</w:t>
      </w:r>
      <w:r>
        <w:rPr>
          <w:color w:val="000000"/>
          <w:shd w:fill="FFFFFF" w:val="clear"/>
        </w:rPr>
        <w:t xml:space="preserve"> </w:t>
      </w:r>
      <w:r>
        <w:rPr>
          <w:rFonts w:ascii="Arial;sans-serif" w:hAnsi="Arial;sans-serif"/>
          <w:b w:val="false"/>
          <w:color w:val="000000"/>
          <w:sz w:val="20"/>
          <w:shd w:fill="FFFFFF" w:val="clear"/>
        </w:rPr>
        <w:t>per share);</w:t>
      </w:r>
    </w:p>
    <w:p>
      <w:pPr>
        <w:pStyle w:val="TextBody"/>
        <w:bidi w:val="0"/>
        <w:spacing w:lineRule="auto" w:line="264" w:before="0" w:after="120"/>
        <w:ind w:left="0" w:right="0" w:hanging="180"/>
        <w:jc w:val="left"/>
        <w:rPr/>
      </w:pPr>
      <w:r>
        <w:rPr>
          <w:color w:val="000000"/>
        </w:rPr>
        <w:t>•</w:t>
      </w:r>
      <w:r>
        <w:rPr>
          <w:rFonts w:ascii="Arial;sans-serif" w:hAnsi="Arial;sans-serif"/>
          <w:b w:val="false"/>
          <w:color w:val="000000"/>
          <w:sz w:val="20"/>
        </w:rPr>
        <w:t xml:space="preserve">$33.0 million </w:t>
      </w:r>
      <w:r>
        <w:rPr>
          <w:rFonts w:ascii="Arial;sans-serif" w:hAnsi="Arial;sans-serif"/>
          <w:b w:val="false"/>
          <w:color w:val="000000"/>
          <w:sz w:val="20"/>
          <w:shd w:fill="FFFFFF" w:val="clear"/>
        </w:rPr>
        <w:t xml:space="preserve">in net gains on marketable equity securities (after-tax impact of </w:t>
      </w:r>
      <w:r>
        <w:rPr>
          <w:rFonts w:ascii="Arial;sans-serif" w:hAnsi="Arial;sans-serif"/>
          <w:b w:val="false"/>
          <w:color w:val="000000"/>
          <w:sz w:val="20"/>
        </w:rPr>
        <w:t>$24.5 million</w:t>
      </w:r>
      <w:r>
        <w:rPr>
          <w:rFonts w:ascii="Arial;sans-serif" w:hAnsi="Arial;sans-serif"/>
          <w:b w:val="false"/>
          <w:color w:val="000000"/>
          <w:sz w:val="20"/>
          <w:shd w:fill="FFFFFF" w:val="clear"/>
        </w:rPr>
        <w:t xml:space="preserve">, or </w:t>
      </w:r>
      <w:r>
        <w:rPr>
          <w:rFonts w:ascii="Arial;sans-serif" w:hAnsi="Arial;sans-serif"/>
          <w:b w:val="false"/>
          <w:color w:val="000000"/>
          <w:sz w:val="20"/>
        </w:rPr>
        <w:t>$5.62</w:t>
      </w:r>
      <w:r>
        <w:rPr>
          <w:color w:val="000000"/>
          <w:shd w:fill="FFFFFF" w:val="clear"/>
        </w:rPr>
        <w:t xml:space="preserve"> </w:t>
      </w:r>
      <w:r>
        <w:rPr>
          <w:rFonts w:ascii="Arial;sans-serif" w:hAnsi="Arial;sans-serif"/>
          <w:b w:val="false"/>
          <w:color w:val="000000"/>
          <w:sz w:val="20"/>
          <w:shd w:fill="FFFFFF" w:val="clear"/>
        </w:rPr>
        <w:t>per share);</w:t>
      </w:r>
    </w:p>
    <w:p>
      <w:pPr>
        <w:pStyle w:val="TextBody"/>
        <w:bidi w:val="0"/>
        <w:spacing w:lineRule="auto" w:line="264" w:before="0" w:after="120"/>
        <w:ind w:left="0" w:right="0" w:hanging="180"/>
        <w:jc w:val="left"/>
        <w:rPr/>
      </w:pPr>
      <w:r>
        <w:rPr>
          <w:color w:val="000000"/>
          <w:shd w:fill="FFFFFF" w:val="clear"/>
        </w:rPr>
        <w:t>•</w:t>
      </w:r>
      <w:r>
        <w:rPr>
          <w:rFonts w:ascii="Arial;sans-serif" w:hAnsi="Arial;sans-serif"/>
          <w:b w:val="false"/>
          <w:color w:val="000000"/>
          <w:sz w:val="20"/>
        </w:rPr>
        <w:t>$13.1 million</w:t>
      </w:r>
      <w:r>
        <w:rPr>
          <w:color w:val="000000"/>
          <w:shd w:fill="FFFFFF" w:val="clear"/>
        </w:rPr>
        <w:t xml:space="preserve"> </w:t>
      </w:r>
      <w:r>
        <w:rPr>
          <w:rFonts w:ascii="Arial;sans-serif" w:hAnsi="Arial;sans-serif"/>
          <w:b w:val="false"/>
          <w:color w:val="000000"/>
          <w:sz w:val="20"/>
          <w:shd w:fill="FFFFFF" w:val="clear"/>
        </w:rPr>
        <w:t xml:space="preserve">in net earnings of affiliates whose operations are not managed by the Company (after-tax impact of </w:t>
      </w:r>
      <w:r>
        <w:rPr>
          <w:rFonts w:ascii="Arial;sans-serif" w:hAnsi="Arial;sans-serif"/>
          <w:b w:val="false"/>
          <w:color w:val="000000"/>
          <w:sz w:val="20"/>
        </w:rPr>
        <w:t>$9.7 million</w:t>
      </w:r>
      <w:r>
        <w:rPr>
          <w:rFonts w:ascii="Arial;sans-serif" w:hAnsi="Arial;sans-serif"/>
          <w:b w:val="false"/>
          <w:color w:val="000000"/>
          <w:sz w:val="20"/>
          <w:shd w:fill="FFFFFF" w:val="clear"/>
        </w:rPr>
        <w:t xml:space="preserve">, or </w:t>
      </w:r>
      <w:r>
        <w:rPr>
          <w:rFonts w:ascii="Arial;sans-serif" w:hAnsi="Arial;sans-serif"/>
          <w:b w:val="false"/>
          <w:color w:val="000000"/>
          <w:sz w:val="20"/>
        </w:rPr>
        <w:t>$2.23</w:t>
      </w:r>
      <w:r>
        <w:rPr>
          <w:color w:val="000000"/>
          <w:shd w:fill="FFFFFF" w:val="clear"/>
        </w:rPr>
        <w:t xml:space="preserve"> </w:t>
      </w:r>
      <w:r>
        <w:rPr>
          <w:rFonts w:ascii="Arial;sans-serif" w:hAnsi="Arial;sans-serif"/>
          <w:b w:val="false"/>
          <w:color w:val="000000"/>
          <w:sz w:val="20"/>
          <w:shd w:fill="FFFFFF" w:val="clear"/>
        </w:rPr>
        <w:t>per share);</w:t>
      </w:r>
    </w:p>
    <w:p>
      <w:pPr>
        <w:pStyle w:val="TextBody"/>
        <w:bidi w:val="0"/>
        <w:spacing w:lineRule="auto" w:line="264" w:before="0" w:after="120"/>
        <w:ind w:left="0" w:right="0" w:hanging="180"/>
        <w:jc w:val="left"/>
        <w:rPr/>
      </w:pPr>
      <w:r>
        <w:rPr>
          <w:color w:val="000000"/>
        </w:rPr>
        <w:t>•</w:t>
      </w:r>
      <w:r>
        <w:rPr>
          <w:rFonts w:ascii="Arial;sans-serif" w:hAnsi="Arial;sans-serif"/>
          <w:b w:val="false"/>
          <w:color w:val="000000"/>
          <w:sz w:val="20"/>
          <w:shd w:fill="FFFFFF" w:val="clear"/>
        </w:rPr>
        <w:t xml:space="preserve">net non-operating gains of </w:t>
      </w:r>
      <w:r>
        <w:rPr>
          <w:rFonts w:ascii="Arial;sans-serif" w:hAnsi="Arial;sans-serif"/>
          <w:b w:val="false"/>
          <w:color w:val="000000"/>
          <w:sz w:val="20"/>
        </w:rPr>
        <w:t xml:space="preserve">$5.3 million </w:t>
      </w:r>
      <w:r>
        <w:rPr>
          <w:rFonts w:ascii="Arial;sans-serif" w:hAnsi="Arial;sans-serif"/>
          <w:b w:val="false"/>
          <w:color w:val="000000"/>
          <w:sz w:val="20"/>
          <w:shd w:fill="FFFFFF" w:val="clear"/>
        </w:rPr>
        <w:t>fro</w:t>
      </w:r>
      <w:r>
        <w:rPr>
          <w:rFonts w:ascii="Arial;sans-serif" w:hAnsi="Arial;sans-serif"/>
          <w:b w:val="false"/>
          <w:color w:val="000000"/>
          <w:sz w:val="20"/>
        </w:rPr>
        <w:t>m earnings, sales and impairments of equity and cost method investments (after-tax impact of $4.0 million, or $0.91 per share);</w:t>
      </w:r>
    </w:p>
    <w:p>
      <w:pPr>
        <w:pStyle w:val="TextBody"/>
        <w:bidi w:val="0"/>
        <w:spacing w:lineRule="auto" w:line="264" w:before="0" w:after="120"/>
        <w:ind w:left="0" w:right="0" w:hanging="180"/>
        <w:jc w:val="left"/>
        <w:rPr/>
      </w:pPr>
      <w:r>
        <w:rPr>
          <w:color w:val="000000"/>
        </w:rPr>
        <w:t>•</w:t>
      </w:r>
      <w:r>
        <w:rPr>
          <w:rFonts w:ascii="Arial;sans-serif" w:hAnsi="Arial;sans-serif"/>
          <w:b w:val="false"/>
          <w:color w:val="000000"/>
          <w:sz w:val="20"/>
        </w:rPr>
        <w:t>a $69.6 million income tax benefit related to the KLG business ($15.93 per share); and</w:t>
      </w:r>
    </w:p>
    <w:p>
      <w:pPr>
        <w:pStyle w:val="TextBody"/>
        <w:bidi w:val="0"/>
        <w:spacing w:lineRule="auto" w:line="264" w:before="0" w:after="120"/>
        <w:ind w:left="0" w:right="0" w:hanging="180"/>
        <w:jc w:val="left"/>
        <w:rPr/>
      </w:pPr>
      <w:r>
        <w:rPr>
          <w:color w:val="000000"/>
        </w:rPr>
        <w:t>•</w:t>
      </w:r>
      <w:r>
        <w:rPr>
          <w:rFonts w:ascii="Arial;sans-serif" w:hAnsi="Arial;sans-serif"/>
          <w:b w:val="false"/>
          <w:color w:val="000000"/>
          <w:sz w:val="20"/>
        </w:rPr>
        <w:t>$19.2 million in income tax expense recorded in connection with global minimum income tax obligations in non- U.S. jurisdictions ($4.39 per share).</w:t>
      </w:r>
    </w:p>
    <w:p>
      <w:pPr>
        <w:pStyle w:val="TextBody"/>
        <w:bidi w:val="0"/>
        <w:spacing w:lineRule="auto" w:line="264" w:before="0" w:after="120"/>
        <w:jc w:val="left"/>
        <w:rPr>
          <w:rFonts w:ascii="Arial;sans-serif" w:hAnsi="Arial;sans-serif"/>
          <w:b w:val="false"/>
          <w:color w:val="000000"/>
          <w:sz w:val="20"/>
        </w:rPr>
      </w:pPr>
      <w:r>
        <w:rPr>
          <w:rFonts w:ascii="Arial;sans-serif" w:hAnsi="Arial;sans-serif"/>
          <w:b w:val="false"/>
          <w:color w:val="000000"/>
          <w:sz w:val="20"/>
        </w:rPr>
        <w:t>Items included in the Company’s net income for the first six months of 2025:</w:t>
      </w:r>
    </w:p>
    <w:p>
      <w:pPr>
        <w:pStyle w:val="TextBody"/>
        <w:bidi w:val="0"/>
        <w:spacing w:lineRule="auto" w:line="264" w:before="0" w:after="120"/>
        <w:ind w:left="0" w:right="0" w:hanging="180"/>
        <w:jc w:val="left"/>
        <w:rPr/>
      </w:pPr>
      <w:r>
        <w:rPr>
          <w:color w:val="000000"/>
          <w:shd w:fill="FFFFFF" w:val="clear"/>
        </w:rPr>
        <w:t>•</w:t>
      </w:r>
      <w:r>
        <w:rPr>
          <w:rFonts w:ascii="Arial;sans-serif" w:hAnsi="Arial;sans-serif"/>
          <w:b w:val="false"/>
          <w:color w:val="000000"/>
          <w:sz w:val="20"/>
        </w:rPr>
        <w:t>$6.6 million</w:t>
      </w:r>
      <w:r>
        <w:rPr>
          <w:color w:val="000000"/>
          <w:shd w:fill="FFFFFF" w:val="clear"/>
        </w:rPr>
        <w:t xml:space="preserve"> </w:t>
      </w:r>
      <w:r>
        <w:rPr>
          <w:rFonts w:ascii="Arial;sans-serif" w:hAnsi="Arial;sans-serif"/>
          <w:b w:val="false"/>
          <w:color w:val="000000"/>
          <w:sz w:val="20"/>
          <w:shd w:fill="FFFFFF" w:val="clear"/>
        </w:rPr>
        <w:t xml:space="preserve">in non-operating expenses related to a SIPs at other businesses and the education and television broadcasting divisions (after-tax impact of </w:t>
      </w:r>
      <w:r>
        <w:rPr>
          <w:rFonts w:ascii="Arial;sans-serif" w:hAnsi="Arial;sans-serif"/>
          <w:b w:val="false"/>
          <w:color w:val="000000"/>
          <w:sz w:val="20"/>
        </w:rPr>
        <w:t>$4.9 million</w:t>
      </w:r>
      <w:r>
        <w:rPr>
          <w:rFonts w:ascii="Arial;sans-serif" w:hAnsi="Arial;sans-serif"/>
          <w:b w:val="false"/>
          <w:color w:val="000000"/>
          <w:sz w:val="20"/>
          <w:shd w:fill="FFFFFF" w:val="clear"/>
        </w:rPr>
        <w:t xml:space="preserve">, or </w:t>
      </w:r>
      <w:r>
        <w:rPr>
          <w:rFonts w:ascii="Arial;sans-serif" w:hAnsi="Arial;sans-serif"/>
          <w:b w:val="false"/>
          <w:color w:val="000000"/>
          <w:sz w:val="20"/>
        </w:rPr>
        <w:t>$1.12</w:t>
      </w:r>
      <w:r>
        <w:rPr>
          <w:color w:val="000000"/>
          <w:shd w:fill="FFFFFF" w:val="clear"/>
        </w:rPr>
        <w:t xml:space="preserve"> </w:t>
      </w:r>
      <w:r>
        <w:rPr>
          <w:rFonts w:ascii="Arial;sans-serif" w:hAnsi="Arial;sans-serif"/>
          <w:b w:val="false"/>
          <w:color w:val="000000"/>
          <w:sz w:val="20"/>
          <w:shd w:fill="FFFFFF" w:val="clear"/>
        </w:rPr>
        <w:t>per share);</w:t>
      </w:r>
    </w:p>
    <w:p>
      <w:pPr>
        <w:pStyle w:val="TextBody"/>
        <w:bidi w:val="0"/>
        <w:spacing w:lineRule="auto" w:line="264" w:before="0" w:after="120"/>
        <w:ind w:left="0" w:right="0" w:hanging="180"/>
        <w:jc w:val="left"/>
        <w:rPr/>
      </w:pPr>
      <w:r>
        <w:rPr>
          <w:color w:val="000000"/>
          <w:shd w:fill="FFFFFF" w:val="clear"/>
        </w:rPr>
        <w:t>•</w:t>
      </w:r>
      <w:r>
        <w:rPr>
          <w:rFonts w:ascii="Arial;sans-serif" w:hAnsi="Arial;sans-serif"/>
          <w:b w:val="false"/>
          <w:color w:val="000000"/>
          <w:sz w:val="20"/>
        </w:rPr>
        <w:t>$67.6 million</w:t>
      </w:r>
      <w:r>
        <w:rPr>
          <w:color w:val="000000"/>
          <w:shd w:fill="FFFFFF" w:val="clear"/>
        </w:rPr>
        <w:t xml:space="preserve"> </w:t>
      </w:r>
      <w:r>
        <w:rPr>
          <w:rFonts w:ascii="Arial;sans-serif" w:hAnsi="Arial;sans-serif"/>
          <w:b w:val="false"/>
          <w:color w:val="000000"/>
          <w:sz w:val="20"/>
          <w:shd w:fill="FFFFFF" w:val="clear"/>
        </w:rPr>
        <w:t xml:space="preserve">in interest expense to adjust the fair value of the mandatorily redeemable noncontrolling interest (after-tax impact of </w:t>
      </w:r>
      <w:r>
        <w:rPr>
          <w:rFonts w:ascii="Arial;sans-serif" w:hAnsi="Arial;sans-serif"/>
          <w:b w:val="false"/>
          <w:color w:val="000000"/>
          <w:sz w:val="20"/>
        </w:rPr>
        <w:t>$53.9 million</w:t>
      </w:r>
      <w:r>
        <w:rPr>
          <w:rFonts w:ascii="Arial;sans-serif" w:hAnsi="Arial;sans-serif"/>
          <w:b w:val="false"/>
          <w:color w:val="000000"/>
          <w:sz w:val="20"/>
          <w:shd w:fill="FFFFFF" w:val="clear"/>
        </w:rPr>
        <w:t xml:space="preserve">, or </w:t>
      </w:r>
      <w:r>
        <w:rPr>
          <w:rFonts w:ascii="Arial;sans-serif" w:hAnsi="Arial;sans-serif"/>
          <w:b w:val="false"/>
          <w:color w:val="000000"/>
          <w:sz w:val="20"/>
        </w:rPr>
        <w:t>$12.26</w:t>
      </w:r>
      <w:r>
        <w:rPr>
          <w:color w:val="000000"/>
          <w:shd w:fill="FFFFFF" w:val="clear"/>
        </w:rPr>
        <w:t xml:space="preserve"> </w:t>
      </w:r>
      <w:r>
        <w:rPr>
          <w:rFonts w:ascii="Arial;sans-serif" w:hAnsi="Arial;sans-serif"/>
          <w:b w:val="false"/>
          <w:color w:val="000000"/>
          <w:sz w:val="20"/>
          <w:shd w:fill="FFFFFF" w:val="clear"/>
        </w:rPr>
        <w:t>per share);</w:t>
      </w:r>
    </w:p>
    <w:p>
      <w:pPr>
        <w:pStyle w:val="TextBody"/>
        <w:bidi w:val="0"/>
        <w:spacing w:lineRule="auto" w:line="264" w:before="0" w:after="120"/>
        <w:ind w:left="0" w:right="0" w:hanging="180"/>
        <w:jc w:val="left"/>
        <w:rPr/>
      </w:pPr>
      <w:r>
        <w:rPr>
          <w:color w:val="000000"/>
        </w:rPr>
        <w:t>•</w:t>
      </w:r>
      <w:r>
        <w:rPr>
          <w:rFonts w:ascii="Arial;sans-serif" w:hAnsi="Arial;sans-serif"/>
          <w:b w:val="false"/>
          <w:color w:val="000000"/>
          <w:sz w:val="20"/>
        </w:rPr>
        <w:t>$32.3 million</w:t>
      </w:r>
      <w:r>
        <w:rPr>
          <w:color w:val="000000"/>
          <w:shd w:fill="FFFFFF" w:val="clear"/>
        </w:rPr>
        <w:t xml:space="preserve"> </w:t>
      </w:r>
      <w:r>
        <w:rPr>
          <w:rFonts w:ascii="Arial;sans-serif" w:hAnsi="Arial;sans-serif"/>
          <w:b w:val="false"/>
          <w:color w:val="000000"/>
          <w:sz w:val="20"/>
          <w:shd w:fill="FFFFFF" w:val="clear"/>
        </w:rPr>
        <w:t xml:space="preserve">in net gains on marketable equity securities (after-tax impact of </w:t>
      </w:r>
      <w:r>
        <w:rPr>
          <w:rFonts w:ascii="Arial;sans-serif" w:hAnsi="Arial;sans-serif"/>
          <w:b w:val="false"/>
          <w:color w:val="000000"/>
          <w:sz w:val="20"/>
        </w:rPr>
        <w:t>$24.0 million</w:t>
      </w:r>
      <w:r>
        <w:rPr>
          <w:rFonts w:ascii="Arial;sans-serif" w:hAnsi="Arial;sans-serif"/>
          <w:b w:val="false"/>
          <w:color w:val="000000"/>
          <w:sz w:val="20"/>
          <w:shd w:fill="FFFFFF" w:val="clear"/>
        </w:rPr>
        <w:t xml:space="preserve">, or </w:t>
      </w:r>
      <w:r>
        <w:rPr>
          <w:rFonts w:ascii="Arial;sans-serif" w:hAnsi="Arial;sans-serif"/>
          <w:b w:val="false"/>
          <w:color w:val="000000"/>
          <w:sz w:val="20"/>
        </w:rPr>
        <w:t>$5.46</w:t>
      </w:r>
      <w:r>
        <w:rPr>
          <w:color w:val="000000"/>
          <w:shd w:fill="FFFFFF" w:val="clear"/>
        </w:rPr>
        <w:t xml:space="preserve"> </w:t>
      </w:r>
      <w:r>
        <w:rPr>
          <w:rFonts w:ascii="Arial;sans-serif" w:hAnsi="Arial;sans-serif"/>
          <w:b w:val="false"/>
          <w:color w:val="000000"/>
          <w:sz w:val="20"/>
          <w:shd w:fill="FFFFFF" w:val="clear"/>
        </w:rPr>
        <w:t>per share);</w:t>
      </w:r>
    </w:p>
    <w:p>
      <w:pPr>
        <w:pStyle w:val="TextBody"/>
        <w:bidi w:val="0"/>
        <w:spacing w:lineRule="auto" w:line="264" w:before="0" w:after="120"/>
        <w:ind w:left="0" w:right="0" w:hanging="180"/>
        <w:jc w:val="left"/>
        <w:rPr/>
      </w:pPr>
      <w:r>
        <w:rPr>
          <w:color w:val="000000"/>
          <w:shd w:fill="FFFFFF" w:val="clear"/>
        </w:rPr>
        <w:t>•</w:t>
      </w:r>
      <w:r>
        <w:rPr>
          <w:rFonts w:ascii="Arial;sans-serif" w:hAnsi="Arial;sans-serif"/>
          <w:b w:val="false"/>
          <w:color w:val="000000"/>
          <w:sz w:val="20"/>
        </w:rPr>
        <w:t>$12.3 million</w:t>
      </w:r>
      <w:r>
        <w:rPr>
          <w:color w:val="000000"/>
          <w:shd w:fill="FFFFFF" w:val="clear"/>
        </w:rPr>
        <w:t xml:space="preserve"> </w:t>
      </w:r>
      <w:r>
        <w:rPr>
          <w:rFonts w:ascii="Arial;sans-serif" w:hAnsi="Arial;sans-serif"/>
          <w:b w:val="false"/>
          <w:color w:val="000000"/>
          <w:sz w:val="20"/>
          <w:shd w:fill="FFFFFF" w:val="clear"/>
        </w:rPr>
        <w:t xml:space="preserve">in net losses of affiliates whose operations are not managed by the Company (after-tax impact of </w:t>
      </w:r>
      <w:r>
        <w:rPr>
          <w:rFonts w:ascii="Arial;sans-serif" w:hAnsi="Arial;sans-serif"/>
          <w:b w:val="false"/>
          <w:color w:val="000000"/>
          <w:sz w:val="20"/>
        </w:rPr>
        <w:t>$9.2 million</w:t>
      </w:r>
      <w:r>
        <w:rPr>
          <w:rFonts w:ascii="Arial;sans-serif" w:hAnsi="Arial;sans-serif"/>
          <w:b w:val="false"/>
          <w:color w:val="000000"/>
          <w:sz w:val="20"/>
          <w:shd w:fill="FFFFFF" w:val="clear"/>
        </w:rPr>
        <w:t xml:space="preserve">, or </w:t>
      </w:r>
      <w:r>
        <w:rPr>
          <w:rFonts w:ascii="Arial;sans-serif" w:hAnsi="Arial;sans-serif"/>
          <w:b w:val="false"/>
          <w:color w:val="000000"/>
          <w:sz w:val="20"/>
        </w:rPr>
        <w:t>$2.09</w:t>
      </w:r>
      <w:r>
        <w:rPr>
          <w:color w:val="000000"/>
          <w:shd w:fill="FFFFFF" w:val="clear"/>
        </w:rPr>
        <w:t xml:space="preserve"> </w:t>
      </w:r>
      <w:r>
        <w:rPr>
          <w:rFonts w:ascii="Arial;sans-serif" w:hAnsi="Arial;sans-serif"/>
          <w:b w:val="false"/>
          <w:color w:val="000000"/>
          <w:sz w:val="20"/>
          <w:shd w:fill="FFFFFF" w:val="clear"/>
        </w:rPr>
        <w:t xml:space="preserve">per share); and </w:t>
      </w:r>
    </w:p>
    <w:p>
      <w:pPr>
        <w:pStyle w:val="TextBody"/>
        <w:bidi w:val="0"/>
        <w:spacing w:lineRule="auto" w:line="264" w:before="0" w:after="120"/>
        <w:ind w:left="0" w:right="0" w:hanging="180"/>
        <w:jc w:val="left"/>
        <w:rPr/>
      </w:pPr>
      <w:r>
        <w:rPr>
          <w:color w:val="000000"/>
          <w:shd w:fill="FFFFFF" w:val="clear"/>
        </w:rPr>
        <w:t>•</w:t>
      </w:r>
      <w:r>
        <w:rPr>
          <w:rFonts w:ascii="Arial;sans-serif" w:hAnsi="Arial;sans-serif"/>
          <w:b w:val="false"/>
          <w:color w:val="000000"/>
          <w:sz w:val="20"/>
          <w:shd w:fill="FFFFFF" w:val="clear"/>
        </w:rPr>
        <w:t xml:space="preserve">a non-operating loss of </w:t>
      </w:r>
      <w:r>
        <w:rPr>
          <w:rFonts w:ascii="Arial;sans-serif" w:hAnsi="Arial;sans-serif"/>
          <w:b w:val="false"/>
          <w:color w:val="000000"/>
          <w:sz w:val="20"/>
        </w:rPr>
        <w:t>$12.7 million</w:t>
      </w:r>
      <w:r>
        <w:rPr>
          <w:color w:val="000000"/>
          <w:shd w:fill="FFFFFF" w:val="clear"/>
        </w:rPr>
        <w:t xml:space="preserve"> </w:t>
      </w:r>
      <w:r>
        <w:rPr>
          <w:rFonts w:ascii="Arial;sans-serif" w:hAnsi="Arial;sans-serif"/>
          <w:b w:val="false"/>
          <w:color w:val="000000"/>
          <w:sz w:val="20"/>
          <w:shd w:fill="FFFFFF" w:val="clear"/>
        </w:rPr>
        <w:t xml:space="preserve">from the impairment of a cost method investment (after-tax impact of </w:t>
      </w:r>
      <w:r>
        <w:rPr>
          <w:rFonts w:ascii="Arial;sans-serif" w:hAnsi="Arial;sans-serif"/>
          <w:b w:val="false"/>
          <w:color w:val="000000"/>
          <w:sz w:val="20"/>
        </w:rPr>
        <w:t>$9.5 million</w:t>
      </w:r>
      <w:r>
        <w:rPr>
          <w:rFonts w:ascii="Arial;sans-serif" w:hAnsi="Arial;sans-serif"/>
          <w:b w:val="false"/>
          <w:color w:val="000000"/>
          <w:sz w:val="20"/>
          <w:shd w:fill="FFFFFF" w:val="clear"/>
        </w:rPr>
        <w:t xml:space="preserve">, or </w:t>
      </w:r>
      <w:r>
        <w:rPr>
          <w:rFonts w:ascii="Arial;sans-serif" w:hAnsi="Arial;sans-serif"/>
          <w:b w:val="false"/>
          <w:color w:val="000000"/>
          <w:sz w:val="20"/>
        </w:rPr>
        <w:t>$2.16</w:t>
      </w:r>
      <w:r>
        <w:rPr>
          <w:color w:val="000000"/>
          <w:shd w:fill="FFFFFF" w:val="clear"/>
        </w:rPr>
        <w:t xml:space="preserve"> </w:t>
      </w:r>
      <w:r>
        <w:rPr>
          <w:rFonts w:ascii="Arial;sans-serif" w:hAnsi="Arial;sans-serif"/>
          <w:b w:val="false"/>
          <w:color w:val="000000"/>
          <w:sz w:val="20"/>
          <w:shd w:fill="FFFFFF" w:val="clear"/>
        </w:rPr>
        <w:t>per share).</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 xml:space="preserve">Revenue for the first six months of 2026 was $2,538.5 million, up 7% from $2,381.7 million in the first six months of 2025. Revenues increased at television broadcasting, healthcare, manufacturing, automotive and other businesses, partially offset by a slight decline at education. The Company reported operating income of $141.5 million for the first six months of 2026, compared to $120.2 million for the first six months of 2025. The increase in operating results is due to improved results at television broadcasting, manufacturing and other businesses, partially offset by declines at education, healthcare and automotive.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u w:val="single"/>
        </w:rPr>
      </w:pPr>
      <w:r>
        <w:rPr>
          <w:rFonts w:ascii="Arial;sans-serif" w:hAnsi="Arial;sans-serif"/>
          <w:b/>
          <w:color w:val="000000"/>
          <w:sz w:val="20"/>
          <w:u w:val="single"/>
        </w:rPr>
        <w:t>Division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i/>
          <w:color w:val="000000"/>
          <w:sz w:val="20"/>
        </w:rPr>
      </w:pPr>
      <w:r>
        <w:rPr>
          <w:rFonts w:ascii="Arial;sans-serif" w:hAnsi="Arial;sans-serif"/>
          <w:b/>
          <w:i/>
          <w:color w:val="000000"/>
          <w:sz w:val="20"/>
        </w:rPr>
        <w:t>Education</w:t>
      </w:r>
    </w:p>
    <w:p>
      <w:pPr>
        <w:pStyle w:val="TextBody"/>
        <w:bidi w:val="0"/>
        <w:spacing w:lineRule="auto" w:line="264" w:before="0" w:after="180"/>
        <w:jc w:val="left"/>
        <w:rPr/>
      </w:pPr>
      <w:r>
        <w:rPr>
          <w:rFonts w:ascii="Arial;sans-serif" w:hAnsi="Arial;sans-serif"/>
          <w:b w:val="false"/>
          <w:color w:val="000000"/>
          <w:sz w:val="20"/>
        </w:rPr>
        <w:t xml:space="preserve">Education division revenue totaled </w:t>
      </w:r>
      <w:r>
        <w:rPr>
          <w:rFonts w:ascii="Arial;sans-serif" w:hAnsi="Arial;sans-serif"/>
          <w:b w:val="false"/>
          <w:color w:val="000000"/>
          <w:sz w:val="20"/>
          <w:shd w:fill="FFFFFF" w:val="clear"/>
        </w:rPr>
        <w:t>$417.8 million</w:t>
      </w:r>
      <w:r>
        <w:rPr>
          <w:color w:val="000000"/>
        </w:rPr>
        <w:t xml:space="preserve"> </w:t>
      </w:r>
      <w:r>
        <w:rPr>
          <w:rFonts w:ascii="Arial;sans-serif" w:hAnsi="Arial;sans-serif"/>
          <w:b w:val="false"/>
          <w:color w:val="000000"/>
          <w:sz w:val="20"/>
        </w:rPr>
        <w:t xml:space="preserve">for the second quarter of 2026, down </w:t>
      </w:r>
      <w:r>
        <w:rPr>
          <w:rFonts w:ascii="Arial;sans-serif" w:hAnsi="Arial;sans-serif"/>
          <w:b w:val="false"/>
          <w:color w:val="000000"/>
          <w:sz w:val="20"/>
          <w:shd w:fill="FFFFFF" w:val="clear"/>
        </w:rPr>
        <w:t>4%</w:t>
      </w:r>
      <w:r>
        <w:rPr>
          <w:color w:val="000000"/>
        </w:rPr>
        <w:t xml:space="preserve"> </w:t>
      </w:r>
      <w:r>
        <w:rPr>
          <w:rFonts w:ascii="Arial;sans-serif" w:hAnsi="Arial;sans-serif"/>
          <w:b w:val="false"/>
          <w:color w:val="000000"/>
          <w:sz w:val="20"/>
        </w:rPr>
        <w:t xml:space="preserve">from $436.8 million for the same period of 2025. Kaplan reported operating income of </w:t>
      </w:r>
      <w:r>
        <w:rPr>
          <w:rFonts w:ascii="Arial;sans-serif" w:hAnsi="Arial;sans-serif"/>
          <w:b w:val="false"/>
          <w:color w:val="000000"/>
          <w:sz w:val="20"/>
          <w:shd w:fill="FFFFFF" w:val="clear"/>
        </w:rPr>
        <w:t>$50.3 million</w:t>
      </w:r>
      <w:r>
        <w:rPr>
          <w:color w:val="000000"/>
        </w:rPr>
        <w:t xml:space="preserve"> </w:t>
      </w:r>
      <w:r>
        <w:rPr>
          <w:rFonts w:ascii="Arial;sans-serif" w:hAnsi="Arial;sans-serif"/>
          <w:b w:val="false"/>
          <w:color w:val="000000"/>
          <w:sz w:val="20"/>
        </w:rPr>
        <w:t xml:space="preserve">for the second quarter of 2026, compared to $46.2 million for the second quarter of 2025. </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 xml:space="preserve">For the first six months of 2026, education division revenue totaled $858.3 million, down slightly from $861.5 million for the same period of 2025. Kaplan reported operating income of $82.7 million for the first six months of 2026, compared to $86.2 million for the first six months of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A summary of Kaplan’s operating results is as follows:</w:t>
      </w:r>
    </w:p>
    <w:tbl>
      <w:tblPr>
        <w:tblW w:w="10205" w:type="dxa"/>
        <w:jc w:val="left"/>
        <w:tblInd w:w="0" w:type="dxa"/>
        <w:tblLayout w:type="fixed"/>
        <w:tblCellMar>
          <w:top w:w="28" w:type="dxa"/>
          <w:left w:w="28" w:type="dxa"/>
          <w:bottom w:w="28" w:type="dxa"/>
          <w:right w:w="28" w:type="dxa"/>
        </w:tblCellMar>
      </w:tblPr>
      <w:tblGrid>
        <w:gridCol w:w="847"/>
        <w:gridCol w:w="669"/>
        <w:gridCol w:w="652"/>
        <w:gridCol w:w="211"/>
        <w:gridCol w:w="841"/>
        <w:gridCol w:w="109"/>
        <w:gridCol w:w="109"/>
        <w:gridCol w:w="109"/>
        <w:gridCol w:w="109"/>
        <w:gridCol w:w="211"/>
        <w:gridCol w:w="826"/>
        <w:gridCol w:w="109"/>
        <w:gridCol w:w="109"/>
        <w:gridCol w:w="109"/>
        <w:gridCol w:w="109"/>
        <w:gridCol w:w="290"/>
        <w:gridCol w:w="290"/>
        <w:gridCol w:w="291"/>
        <w:gridCol w:w="109"/>
        <w:gridCol w:w="109"/>
        <w:gridCol w:w="109"/>
        <w:gridCol w:w="211"/>
        <w:gridCol w:w="841"/>
        <w:gridCol w:w="109"/>
        <w:gridCol w:w="109"/>
        <w:gridCol w:w="109"/>
        <w:gridCol w:w="109"/>
        <w:gridCol w:w="211"/>
        <w:gridCol w:w="826"/>
        <w:gridCol w:w="109"/>
        <w:gridCol w:w="109"/>
        <w:gridCol w:w="109"/>
        <w:gridCol w:w="109"/>
        <w:gridCol w:w="268"/>
        <w:gridCol w:w="268"/>
        <w:gridCol w:w="381"/>
      </w:tblGrid>
      <w:tr>
        <w:trPr/>
        <w:tc>
          <w:tcPr>
            <w:tcW w:w="84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8"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26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216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21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Revenue</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216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Kaplan international</w:t>
            </w:r>
          </w:p>
        </w:tc>
        <w:tc>
          <w:tcPr>
            <w:tcW w:w="211"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252,375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272,171 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524,011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533,427 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Higher education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86,293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84,738 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178,696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173,225 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Supplemental education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79,476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80,161 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156,340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155,564 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0 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Kaplan corporate and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Intersegment elimination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8"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417,808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436,813 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858,287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861,544 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0 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Operating Income (Loss)</w:t>
            </w:r>
          </w:p>
        </w:tc>
        <w:tc>
          <w:tcPr>
            <w:tcW w:w="116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r>
      <w:tr>
        <w:trPr/>
        <w:tc>
          <w:tcPr>
            <w:tcW w:w="216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Kaplan international</w:t>
            </w:r>
          </w:p>
        </w:tc>
        <w:tc>
          <w:tcPr>
            <w:tcW w:w="211"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32,863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29,937 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64,250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59,999 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Higher education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16,648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17,972 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34,337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30,779 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Supplemental education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8,504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7,406 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15,784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13,374 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Kaplan corporate and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(7,767)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(7,416)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(12,117)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(14,064)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(1,699)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(3,818)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38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Impairment of goodwill and asset group held for sale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(19,029)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Intersegment elimination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8"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50,276</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46,185 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82,658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86,218 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In the first quarter of 2026, the Company entered into an agreement to sell KLG included in Kaplan International and recorded a $19.0 million pre-tax impairment charge. Excluding the impairment charge, Kaplan’s operating income was up significantly in the first six months of 2026. The transaction closed on May 1, 2026 and the Company recorded a $5.2 million non-operating pre-tax loss on the sale of the business in the second quarter of 2026.</w:t>
      </w:r>
    </w:p>
    <w:p>
      <w:pPr>
        <w:pStyle w:val="TextBody"/>
        <w:bidi w:val="0"/>
        <w:spacing w:lineRule="auto" w:line="256" w:before="80" w:after="283"/>
        <w:jc w:val="left"/>
        <w:rPr/>
      </w:pPr>
      <w:r>
        <w:rPr>
          <w:rFonts w:ascii="Arial;sans-serif" w:hAnsi="Arial;sans-serif"/>
          <w:b w:val="false"/>
          <w:color w:val="000000"/>
          <w:sz w:val="20"/>
        </w:rPr>
        <w:t xml:space="preserve">Kaplan International includes postsecondary education and professional training businesses largely outside the United States (U.S.). Kaplan International revenue decreased 7% </w:t>
      </w:r>
      <w:r>
        <w:rPr>
          <w:rFonts w:ascii="Arial;sans-serif" w:hAnsi="Arial;sans-serif"/>
          <w:b w:val="false"/>
          <w:color w:val="000000"/>
          <w:sz w:val="20"/>
          <w:shd w:fill="FFFFFF" w:val="clear"/>
        </w:rPr>
        <w:t xml:space="preserve">for the second quarter </w:t>
      </w:r>
      <w:r>
        <w:rPr>
          <w:rFonts w:ascii="Arial;sans-serif" w:hAnsi="Arial;sans-serif"/>
          <w:b w:val="false"/>
          <w:color w:val="000000"/>
          <w:sz w:val="20"/>
        </w:rPr>
        <w:t>of 2026 (10% decrease on a constant currency basis) and decreased 2% for the first six months of 2026 (7% decrease on a constant currency basis) due to the sale of KLG and declines at Pathways, partially offset by increases at Singapore and UK Professional. Kapl</w:t>
      </w:r>
      <w:r>
        <w:rPr>
          <w:rFonts w:ascii="Arial;sans-serif" w:hAnsi="Arial;sans-serif"/>
          <w:b w:val="false"/>
          <w:color w:val="000000"/>
          <w:sz w:val="20"/>
          <w:shd w:fill="FFFFFF" w:val="clear"/>
        </w:rPr>
        <w:t>an International reported</w:t>
      </w:r>
      <w:r>
        <w:rPr>
          <w:color w:val="000000"/>
        </w:rPr>
        <w:t xml:space="preserve"> </w:t>
      </w:r>
      <w:r>
        <w:rPr>
          <w:rFonts w:ascii="Arial;sans-serif" w:hAnsi="Arial;sans-serif"/>
          <w:b w:val="false"/>
          <w:color w:val="000000"/>
          <w:sz w:val="20"/>
        </w:rPr>
        <w:t xml:space="preserve">operating income of $32.9 million in the second quarter of 2026, compared to $29.9 million in the second quarter of 2025. Operating income increased to $64.3 million in the first six months of 2026, compared to $60.0 million in the first six months of 2025. Operating results at Singapore, Kaplan Open Learning, UK Professional and Australia grew as a result of strong enrollment growth. The increase was partially offset by broad declines at the Pathways businesses in the United Kingdom (U.K.), Australia and the U.S. </w:t>
      </w:r>
    </w:p>
    <w:p>
      <w:pPr>
        <w:pStyle w:val="TextBody"/>
        <w:bidi w:val="0"/>
        <w:spacing w:lineRule="auto" w:line="264" w:before="180" w:after="180"/>
        <w:jc w:val="left"/>
        <w:rPr>
          <w:rFonts w:ascii="Arial;sans-serif" w:hAnsi="Arial;sans-serif"/>
          <w:b w:val="false"/>
          <w:color w:val="000000"/>
          <w:sz w:val="20"/>
        </w:rPr>
      </w:pPr>
      <w:r>
        <w:rPr>
          <w:rFonts w:ascii="Arial;sans-serif" w:hAnsi="Arial;sans-serif"/>
          <w:b w:val="false"/>
          <w:color w:val="000000"/>
          <w:sz w:val="20"/>
        </w:rPr>
        <w:t xml:space="preserve">Higher Education includes the results of Kaplan as a service provider to higher education institutions. Higher Education revenue increased 2% and 3% for the second quarter and first six months of 2026, respectively, due primarily to an increase in the Purdue Global fee recorded. Enrollments at Purdue Global, the largest institutional client, increased 5% for the first six months of 2026 compared to the first six months of 2025. For the second quarters and first six months of 2026 and 2025, Kaplan recorded the full fee from Purdue Global. The Company will continue to assess the fee it records from Purdue Global on a quarterly basis to make a determination as to whether to record all or part of the fee in the future and whether to adjust fee amounts recognized in earlier periods. Higher Education operating results declined in the second quarter of 2026, as operating results in the second quarter of 2025 included a portion of the Purdue Global full fee recognition related to the first quarter of 2025. Higher Education operating results improved in the first six months of 2026 due to an increase in the Purdue Global fee recorded, and a decline in higher education development costs. </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 xml:space="preserve">Supplemental Education includes Kaplan’s standardized test preparation programs and domestic professional and other continuing education businesses. Supplemental Education revenue was up slightly in the first half of 2026 due to growth in some of its professional preparation program offerings, offset by softness in publishing sales volume. Operating results increased in the second quarter and first six months of 2026 from improved margins. </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Kaplan corporate and other represents unallocated expenses of Kaplan’s corporate office, other minor businesses and certain shared activities.</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 xml:space="preserve">In the second quarter of 2026, the Company offered a SIP to certain employees at Supplemental Education, Higher Education, Kaplan International and Kaplan corporate; $1.2 million in related non-operating pension expense was recorded in the second quarter of 2026. In the first quarter of 2026, the Company offered a SIP to certain employees at Kaplan International, Higher Education and Supplemental Education; $1.9 million in related non-operating pension expense was recorded in the first quarter of 2026. In the second quarter of 2025, the Company offered a SIP to certain employees at Higher Education and Supplemental Education; $0.7 million in related non-operating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180"/>
        <w:jc w:val="left"/>
        <w:rPr/>
      </w:pPr>
      <w:r>
        <w:rPr>
          <w:rFonts w:ascii="Arial;sans-serif" w:hAnsi="Arial;sans-serif"/>
          <w:b w:val="false"/>
          <w:color w:val="000000"/>
          <w:sz w:val="20"/>
        </w:rPr>
        <w:t xml:space="preserve">pension expense was recorded in the second quarter of 2025. </w:t>
      </w:r>
      <w:r>
        <w:rPr>
          <w:rFonts w:ascii="Arial;sans-serif" w:hAnsi="Arial;sans-serif"/>
          <w:b w:val="false"/>
          <w:color w:val="000000"/>
          <w:sz w:val="20"/>
          <w:shd w:fill="FFFFFF" w:val="clear"/>
        </w:rPr>
        <w:t>These programs were funded from the assets of the Company’s pension plan.</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i/>
          <w:color w:val="000000"/>
          <w:sz w:val="20"/>
        </w:rPr>
      </w:pPr>
      <w:r>
        <w:rPr>
          <w:rFonts w:ascii="Arial;sans-serif" w:hAnsi="Arial;sans-serif"/>
          <w:b/>
          <w:i/>
          <w:color w:val="000000"/>
          <w:sz w:val="20"/>
        </w:rPr>
        <w:t>Television Broadcasting</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A summary of television broadcasting’s operating results is as follows:</w:t>
      </w:r>
    </w:p>
    <w:tbl>
      <w:tblPr>
        <w:tblW w:w="9611" w:type="dxa"/>
        <w:jc w:val="left"/>
        <w:tblInd w:w="0" w:type="dxa"/>
        <w:tblLayout w:type="fixed"/>
        <w:tblCellMar>
          <w:top w:w="28" w:type="dxa"/>
          <w:left w:w="28" w:type="dxa"/>
          <w:bottom w:w="28" w:type="dxa"/>
          <w:right w:w="28" w:type="dxa"/>
        </w:tblCellMar>
      </w:tblPr>
      <w:tblGrid>
        <w:gridCol w:w="571"/>
        <w:gridCol w:w="501"/>
        <w:gridCol w:w="503"/>
        <w:gridCol w:w="211"/>
        <w:gridCol w:w="841"/>
        <w:gridCol w:w="109"/>
        <w:gridCol w:w="109"/>
        <w:gridCol w:w="109"/>
        <w:gridCol w:w="109"/>
        <w:gridCol w:w="211"/>
        <w:gridCol w:w="826"/>
        <w:gridCol w:w="109"/>
        <w:gridCol w:w="109"/>
        <w:gridCol w:w="109"/>
        <w:gridCol w:w="109"/>
        <w:gridCol w:w="290"/>
        <w:gridCol w:w="290"/>
        <w:gridCol w:w="291"/>
        <w:gridCol w:w="109"/>
        <w:gridCol w:w="109"/>
        <w:gridCol w:w="109"/>
        <w:gridCol w:w="211"/>
        <w:gridCol w:w="841"/>
        <w:gridCol w:w="109"/>
        <w:gridCol w:w="109"/>
        <w:gridCol w:w="109"/>
        <w:gridCol w:w="109"/>
        <w:gridCol w:w="211"/>
        <w:gridCol w:w="826"/>
        <w:gridCol w:w="109"/>
        <w:gridCol w:w="109"/>
        <w:gridCol w:w="109"/>
        <w:gridCol w:w="109"/>
        <w:gridCol w:w="268"/>
        <w:gridCol w:w="268"/>
        <w:gridCol w:w="380"/>
      </w:tblGrid>
      <w:tr>
        <w:trPr/>
        <w:tc>
          <w:tcPr>
            <w:tcW w:w="5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26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157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15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109,630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105,984 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221,183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209,538 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3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30,483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27,940 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64,426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52,338 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left"/>
        <w:rPr/>
      </w:pPr>
      <w:r>
        <w:rPr>
          <w:rFonts w:ascii="Arial;sans-serif" w:hAnsi="Arial;sans-serif"/>
          <w:b w:val="false"/>
          <w:color w:val="000000"/>
          <w:sz w:val="20"/>
        </w:rPr>
        <w:t>Graham Media Group owns seven television stations located in Houston, TX; Detroit, MI; Orlando, FL; San Antonio, TX; Jacksonville, FL; and Roanoke, VA, as well as SocialNewsDesk, a provider of social media manageme</w:t>
      </w:r>
      <w:r>
        <w:rPr>
          <w:rFonts w:ascii="Arial;sans-serif" w:hAnsi="Arial;sans-serif"/>
          <w:b w:val="false"/>
          <w:color w:val="000000"/>
          <w:sz w:val="20"/>
          <w:shd w:fill="FFFFFF" w:val="clear"/>
        </w:rPr>
        <w:t xml:space="preserve">nt tools designed to connect newsrooms with their users. </w:t>
      </w:r>
    </w:p>
    <w:p>
      <w:pPr>
        <w:pStyle w:val="TextBody"/>
        <w:bidi w:val="0"/>
        <w:spacing w:lineRule="auto" w:line="264" w:before="0" w:after="180"/>
        <w:jc w:val="left"/>
        <w:rPr/>
      </w:pPr>
      <w:r>
        <w:rPr>
          <w:rFonts w:ascii="Arial;sans-serif" w:hAnsi="Arial;sans-serif"/>
          <w:b w:val="false"/>
          <w:color w:val="000000"/>
          <w:sz w:val="20"/>
          <w:shd w:fill="FFFFFF" w:val="clear"/>
        </w:rPr>
        <w:t xml:space="preserve">Revenue at the television broadcasting division increased </w:t>
      </w:r>
      <w:r>
        <w:rPr>
          <w:rFonts w:ascii="Arial;sans-serif" w:hAnsi="Arial;sans-serif"/>
          <w:b w:val="false"/>
          <w:color w:val="000000"/>
          <w:sz w:val="20"/>
        </w:rPr>
        <w:t>3%</w:t>
      </w:r>
      <w:r>
        <w:rPr>
          <w:color w:val="000000"/>
          <w:shd w:fill="FFFFFF" w:val="clear"/>
        </w:rPr>
        <w:t xml:space="preserve"> </w:t>
      </w:r>
      <w:r>
        <w:rPr>
          <w:rFonts w:ascii="Arial;sans-serif" w:hAnsi="Arial;sans-serif"/>
          <w:b w:val="false"/>
          <w:color w:val="000000"/>
          <w:sz w:val="20"/>
          <w:shd w:fill="FFFFFF" w:val="clear"/>
        </w:rPr>
        <w:t>t</w:t>
      </w:r>
      <w:r>
        <w:rPr>
          <w:rFonts w:ascii="Arial;sans-serif" w:hAnsi="Arial;sans-serif"/>
          <w:b w:val="false"/>
          <w:color w:val="000000"/>
          <w:sz w:val="20"/>
        </w:rPr>
        <w:t>o</w:t>
      </w:r>
      <w:r>
        <w:rPr>
          <w:color w:val="000000"/>
          <w:shd w:fill="FFFFFF" w:val="clear"/>
        </w:rPr>
        <w:t xml:space="preserve"> </w:t>
      </w:r>
      <w:r>
        <w:rPr>
          <w:rFonts w:ascii="Arial;sans-serif" w:hAnsi="Arial;sans-serif"/>
          <w:b w:val="false"/>
          <w:color w:val="000000"/>
          <w:sz w:val="20"/>
          <w:shd w:fill="FFFFFF" w:val="clear"/>
        </w:rPr>
        <w:t>$109.6 million</w:t>
      </w:r>
      <w:r>
        <w:rPr>
          <w:color w:val="000000"/>
        </w:rPr>
        <w:t xml:space="preserve"> </w:t>
      </w:r>
      <w:r>
        <w:rPr>
          <w:rFonts w:ascii="Arial;sans-serif" w:hAnsi="Arial;sans-serif"/>
          <w:b w:val="false"/>
          <w:color w:val="000000"/>
          <w:sz w:val="20"/>
        </w:rPr>
        <w:t>in the second quarter of 2026, from $106.0 million in the same period of 2025. The revenue increase is due to an $8.5 million increase in political advertising revenue, partially offset by a $2.3 million decrease in retransmission revenue and declines in local and digital advertising revenue. Operating income for the second quarter of 2026 was up 9% to $30.5 million, from $27.9 million in the same period of 2025, due to higher revenues.</w:t>
      </w:r>
    </w:p>
    <w:p>
      <w:pPr>
        <w:pStyle w:val="TextBody"/>
        <w:bidi w:val="0"/>
        <w:spacing w:lineRule="auto" w:line="264" w:before="0" w:after="180"/>
        <w:jc w:val="left"/>
        <w:rPr/>
      </w:pPr>
      <w:r>
        <w:rPr>
          <w:rFonts w:ascii="Arial;sans-serif" w:hAnsi="Arial;sans-serif"/>
          <w:b w:val="false"/>
          <w:color w:val="000000"/>
          <w:sz w:val="20"/>
        </w:rPr>
        <w:t>Revenue at the television broadcasting division was up 6% to $221.2 million in the first six months of 2026, from $209.5 million in the same period of 2025. The revenue increase is due to a $15.8 million increase in political advertising revenue and increases from winter Olympics and Super Bowl advertising revenue at the Company’s NBC affiliates in the first quarter of 2026, partially offset by a $5.2 million decrease in retransmission revenue. Operating income for the first six months of 2026 was up 23% to $64.4 million, from $52.3 million in the same period of 2025, due to higher revenues</w:t>
      </w:r>
      <w:r>
        <w:rPr>
          <w:rFonts w:ascii="Arial;sans-serif" w:hAnsi="Arial;sans-serif"/>
          <w:b w:val="false"/>
          <w:color w:val="000000"/>
          <w:sz w:val="20"/>
          <w:shd w:fill="FFFFFF" w:val="clear"/>
        </w:rPr>
        <w:t>.</w:t>
      </w:r>
      <w:r>
        <w:rPr>
          <w:color w:val="000000"/>
        </w:rPr>
        <w:t xml:space="preserve"> </w:t>
      </w:r>
    </w:p>
    <w:p>
      <w:pPr>
        <w:pStyle w:val="TextBody"/>
        <w:bidi w:val="0"/>
        <w:spacing w:lineRule="auto" w:line="264" w:before="0" w:after="180"/>
        <w:jc w:val="left"/>
        <w:rPr/>
      </w:pPr>
      <w:r>
        <w:rPr>
          <w:rFonts w:ascii="Arial;sans-serif" w:hAnsi="Arial;sans-serif"/>
          <w:b w:val="false"/>
          <w:color w:val="000000"/>
          <w:sz w:val="20"/>
        </w:rPr>
        <w:t>While p</w:t>
      </w:r>
      <w:r>
        <w:rPr>
          <w:rFonts w:ascii="Arial;sans-serif" w:hAnsi="Arial;sans-serif"/>
          <w:b w:val="false"/>
          <w:color w:val="000000"/>
          <w:sz w:val="20"/>
          <w:shd w:fill="FFFFFF" w:val="clear"/>
        </w:rPr>
        <w:t>er subscriber rates from cable, satellite and OTT providers have grown, overall cable and satellite subscribers are down due to cord cutting, resulting in retransmission revenue net of network fees in 2026 expected to decline compared with 2025, and this trend is expected to continue.</w:t>
      </w:r>
    </w:p>
    <w:p>
      <w:pPr>
        <w:pStyle w:val="TextBody"/>
        <w:bidi w:val="0"/>
        <w:spacing w:lineRule="auto" w:line="264" w:before="0" w:after="180"/>
        <w:jc w:val="left"/>
        <w:rPr/>
      </w:pPr>
      <w:r>
        <w:rPr>
          <w:rFonts w:ascii="Arial;sans-serif" w:hAnsi="Arial;sans-serif"/>
          <w:b w:val="false"/>
          <w:color w:val="000000"/>
          <w:sz w:val="20"/>
        </w:rPr>
        <w:t>In the first and second quarters of 2026, the Company offered SIPs to certain employees at the television broadcasting division; $0.6 mil</w:t>
      </w:r>
      <w:r>
        <w:rPr>
          <w:rFonts w:ascii="Arial;sans-serif" w:hAnsi="Arial;sans-serif"/>
          <w:b w:val="false"/>
          <w:color w:val="000000"/>
          <w:sz w:val="20"/>
          <w:shd w:fill="FFFFFF" w:val="clear"/>
        </w:rPr>
        <w:t xml:space="preserve">lion and $0.3 million, respectively, in related non-operating pension expense was recorded. </w:t>
      </w:r>
      <w:r>
        <w:rPr>
          <w:rFonts w:ascii="Arial;sans-serif" w:hAnsi="Arial;sans-serif"/>
          <w:b w:val="false"/>
          <w:color w:val="000000"/>
          <w:sz w:val="20"/>
        </w:rPr>
        <w:t xml:space="preserve">In the second quarter of 2025, the Company offered a SIP to certain employees at the television broadcasting division; $0.1 million in related non-operating pension expense was recorded. </w:t>
      </w:r>
      <w:r>
        <w:rPr>
          <w:rFonts w:ascii="Arial;sans-serif" w:hAnsi="Arial;sans-serif"/>
          <w:b w:val="false"/>
          <w:color w:val="000000"/>
          <w:sz w:val="20"/>
          <w:shd w:fill="FFFFFF" w:val="clear"/>
        </w:rPr>
        <w:t>These programs were funded from the assets of the Company’s pension plan.</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In May 2026, the Company’s television station in Orlando (WKMG) entered into a new network affiliation agreement with CBS that covers the period July 1, 2026 through December 31, 2027. In March 2026, the Company’s television station in San Antonio (KSAT) entered into a new network affiliation agreement with ABC that covers the period April 1, 2026 through March 31, 2030.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i/>
          <w:color w:val="000000"/>
          <w:sz w:val="20"/>
        </w:rPr>
      </w:pPr>
      <w:r>
        <w:rPr>
          <w:rFonts w:ascii="Arial;sans-serif" w:hAnsi="Arial;sans-serif"/>
          <w:b/>
          <w:i/>
          <w:color w:val="000000"/>
          <w:sz w:val="20"/>
        </w:rPr>
        <w:t>Healthcare</w:t>
      </w:r>
    </w:p>
    <w:p>
      <w:pPr>
        <w:pStyle w:val="TextBody"/>
        <w:bidi w:val="0"/>
        <w:spacing w:lineRule="auto" w:line="264" w:before="180" w:after="180"/>
        <w:jc w:val="left"/>
        <w:rPr/>
      </w:pPr>
      <w:r>
        <w:rPr>
          <w:rFonts w:ascii="Arial;sans-serif" w:hAnsi="Arial;sans-serif"/>
          <w:b w:val="false"/>
          <w:color w:val="000000"/>
          <w:sz w:val="20"/>
        </w:rPr>
        <w:t xml:space="preserve">Healthcare division revenue totaled </w:t>
      </w:r>
      <w:r>
        <w:rPr>
          <w:rFonts w:ascii="Arial;sans-serif" w:hAnsi="Arial;sans-serif"/>
          <w:b w:val="false"/>
          <w:color w:val="000000"/>
          <w:sz w:val="20"/>
          <w:shd w:fill="FFFFFF" w:val="clear"/>
        </w:rPr>
        <w:t>$247.7 million</w:t>
      </w:r>
      <w:r>
        <w:rPr>
          <w:color w:val="000000"/>
        </w:rPr>
        <w:t xml:space="preserve"> </w:t>
      </w:r>
      <w:r>
        <w:rPr>
          <w:rFonts w:ascii="Arial;sans-serif" w:hAnsi="Arial;sans-serif"/>
          <w:b w:val="false"/>
          <w:color w:val="000000"/>
          <w:sz w:val="20"/>
        </w:rPr>
        <w:t xml:space="preserve">for the second quarter of 2026, up 22% from </w:t>
      </w:r>
      <w:r>
        <w:rPr>
          <w:rFonts w:ascii="Arial;sans-serif" w:hAnsi="Arial;sans-serif"/>
          <w:b w:val="false"/>
          <w:color w:val="000000"/>
          <w:sz w:val="20"/>
          <w:shd w:fill="FFFFFF" w:val="clear"/>
        </w:rPr>
        <w:t>$202.2 million</w:t>
      </w:r>
      <w:r>
        <w:rPr>
          <w:color w:val="000000"/>
        </w:rPr>
        <w:t xml:space="preserve"> </w:t>
      </w:r>
      <w:r>
        <w:rPr>
          <w:rFonts w:ascii="Arial;sans-serif" w:hAnsi="Arial;sans-serif"/>
          <w:b w:val="false"/>
          <w:color w:val="000000"/>
          <w:sz w:val="20"/>
        </w:rPr>
        <w:t xml:space="preserve">for the same period of 2025. Healthcare reported operating income of </w:t>
      </w:r>
      <w:r>
        <w:rPr>
          <w:rFonts w:ascii="Arial;sans-serif" w:hAnsi="Arial;sans-serif"/>
          <w:b w:val="false"/>
          <w:color w:val="000000"/>
          <w:sz w:val="20"/>
          <w:shd w:fill="FFFFFF" w:val="clear"/>
        </w:rPr>
        <w:t>$24.6 million</w:t>
      </w:r>
      <w:r>
        <w:rPr>
          <w:color w:val="000000"/>
        </w:rPr>
        <w:t xml:space="preserve"> </w:t>
      </w:r>
      <w:r>
        <w:rPr>
          <w:rFonts w:ascii="Arial;sans-serif" w:hAnsi="Arial;sans-serif"/>
          <w:b w:val="false"/>
          <w:color w:val="000000"/>
          <w:sz w:val="20"/>
        </w:rPr>
        <w:t xml:space="preserve">for the second quarter of 2026, compared to </w:t>
      </w:r>
      <w:r>
        <w:rPr>
          <w:rFonts w:ascii="Arial;sans-serif" w:hAnsi="Arial;sans-serif"/>
          <w:b w:val="false"/>
          <w:color w:val="000000"/>
          <w:sz w:val="20"/>
          <w:shd w:fill="FFFFFF" w:val="clear"/>
        </w:rPr>
        <w:t>$25.1 million</w:t>
      </w:r>
      <w:r>
        <w:rPr>
          <w:color w:val="000000"/>
        </w:rPr>
        <w:t xml:space="preserve"> </w:t>
      </w:r>
      <w:r>
        <w:rPr>
          <w:rFonts w:ascii="Arial;sans-serif" w:hAnsi="Arial;sans-serif"/>
          <w:b w:val="false"/>
          <w:color w:val="000000"/>
          <w:sz w:val="20"/>
        </w:rPr>
        <w:t xml:space="preserve">for the second quarter of 2025. </w:t>
      </w:r>
    </w:p>
    <w:p>
      <w:pPr>
        <w:pStyle w:val="TextBody"/>
        <w:bidi w:val="0"/>
        <w:spacing w:lineRule="auto" w:line="264" w:before="180" w:after="180"/>
        <w:jc w:val="left"/>
        <w:rPr/>
      </w:pPr>
      <w:r>
        <w:rPr>
          <w:rFonts w:ascii="Arial;sans-serif" w:hAnsi="Arial;sans-serif"/>
          <w:b w:val="false"/>
          <w:color w:val="000000"/>
          <w:sz w:val="20"/>
        </w:rPr>
        <w:t xml:space="preserve">Healthcare division revenue totaled </w:t>
      </w:r>
      <w:r>
        <w:rPr>
          <w:rFonts w:ascii="Arial;sans-serif" w:hAnsi="Arial;sans-serif"/>
          <w:b w:val="false"/>
          <w:color w:val="000000"/>
          <w:sz w:val="20"/>
          <w:shd w:fill="FFFFFF" w:val="clear"/>
        </w:rPr>
        <w:t>$457.0 million</w:t>
      </w:r>
      <w:r>
        <w:rPr>
          <w:color w:val="000000"/>
        </w:rPr>
        <w:t xml:space="preserve"> </w:t>
      </w:r>
      <w:r>
        <w:rPr>
          <w:rFonts w:ascii="Arial;sans-serif" w:hAnsi="Arial;sans-serif"/>
          <w:b w:val="false"/>
          <w:color w:val="000000"/>
          <w:sz w:val="20"/>
        </w:rPr>
        <w:t xml:space="preserve">for the first six months of 2026, up 22% from </w:t>
      </w:r>
      <w:r>
        <w:rPr>
          <w:rFonts w:ascii="Arial;sans-serif" w:hAnsi="Arial;sans-serif"/>
          <w:b w:val="false"/>
          <w:color w:val="000000"/>
          <w:sz w:val="20"/>
          <w:shd w:fill="FFFFFF" w:val="clear"/>
        </w:rPr>
        <w:t>$376.0 million</w:t>
      </w:r>
      <w:r>
        <w:rPr>
          <w:color w:val="000000"/>
        </w:rPr>
        <w:t xml:space="preserve"> </w:t>
      </w:r>
      <w:r>
        <w:rPr>
          <w:rFonts w:ascii="Arial;sans-serif" w:hAnsi="Arial;sans-serif"/>
          <w:b w:val="false"/>
          <w:color w:val="000000"/>
          <w:sz w:val="20"/>
        </w:rPr>
        <w:t xml:space="preserve">for the same period of 2025. Healthcare reported operating income of </w:t>
      </w:r>
      <w:r>
        <w:rPr>
          <w:rFonts w:ascii="Arial;sans-serif" w:hAnsi="Arial;sans-serif"/>
          <w:b w:val="false"/>
          <w:color w:val="000000"/>
          <w:sz w:val="20"/>
          <w:shd w:fill="FFFFFF" w:val="clear"/>
        </w:rPr>
        <w:t>$42.0 million</w:t>
      </w:r>
      <w:r>
        <w:rPr>
          <w:color w:val="000000"/>
        </w:rPr>
        <w:t xml:space="preserve"> </w:t>
      </w:r>
      <w:r>
        <w:rPr>
          <w:rFonts w:ascii="Arial;sans-serif" w:hAnsi="Arial;sans-serif"/>
          <w:b w:val="false"/>
          <w:color w:val="000000"/>
          <w:sz w:val="20"/>
        </w:rPr>
        <w:t xml:space="preserve">for the first six months of 2026, compared to </w:t>
      </w:r>
      <w:r>
        <w:rPr>
          <w:rFonts w:ascii="Arial;sans-serif" w:hAnsi="Arial;sans-serif"/>
          <w:b w:val="false"/>
          <w:color w:val="000000"/>
          <w:sz w:val="20"/>
          <w:shd w:fill="FFFFFF" w:val="clear"/>
        </w:rPr>
        <w:t>$43.4 million</w:t>
      </w:r>
      <w:r>
        <w:rPr>
          <w:color w:val="000000"/>
        </w:rPr>
        <w:t xml:space="preserve"> </w:t>
      </w:r>
      <w:r>
        <w:rPr>
          <w:rFonts w:ascii="Arial;sans-serif" w:hAnsi="Arial;sans-serif"/>
          <w:b w:val="false"/>
          <w:color w:val="000000"/>
          <w:sz w:val="20"/>
        </w:rPr>
        <w:t>for the same period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A summary of healthcare division’s operating results is as follows:</w:t>
      </w:r>
    </w:p>
    <w:tbl>
      <w:tblPr>
        <w:tblW w:w="9997" w:type="dxa"/>
        <w:jc w:val="left"/>
        <w:tblInd w:w="0" w:type="dxa"/>
        <w:tblLayout w:type="fixed"/>
        <w:tblCellMar>
          <w:top w:w="28" w:type="dxa"/>
          <w:left w:w="28" w:type="dxa"/>
          <w:bottom w:w="28" w:type="dxa"/>
          <w:right w:w="28" w:type="dxa"/>
        </w:tblCellMar>
      </w:tblPr>
      <w:tblGrid>
        <w:gridCol w:w="592"/>
        <w:gridCol w:w="520"/>
        <w:gridCol w:w="522"/>
        <w:gridCol w:w="109"/>
        <w:gridCol w:w="109"/>
        <w:gridCol w:w="109"/>
        <w:gridCol w:w="211"/>
        <w:gridCol w:w="841"/>
        <w:gridCol w:w="109"/>
        <w:gridCol w:w="109"/>
        <w:gridCol w:w="109"/>
        <w:gridCol w:w="109"/>
        <w:gridCol w:w="211"/>
        <w:gridCol w:w="826"/>
        <w:gridCol w:w="109"/>
        <w:gridCol w:w="109"/>
        <w:gridCol w:w="109"/>
        <w:gridCol w:w="109"/>
        <w:gridCol w:w="290"/>
        <w:gridCol w:w="290"/>
        <w:gridCol w:w="291"/>
        <w:gridCol w:w="109"/>
        <w:gridCol w:w="109"/>
        <w:gridCol w:w="109"/>
        <w:gridCol w:w="211"/>
        <w:gridCol w:w="841"/>
        <w:gridCol w:w="109"/>
        <w:gridCol w:w="109"/>
        <w:gridCol w:w="109"/>
        <w:gridCol w:w="109"/>
        <w:gridCol w:w="211"/>
        <w:gridCol w:w="826"/>
        <w:gridCol w:w="109"/>
        <w:gridCol w:w="109"/>
        <w:gridCol w:w="109"/>
        <w:gridCol w:w="109"/>
        <w:gridCol w:w="268"/>
        <w:gridCol w:w="268"/>
        <w:gridCol w:w="380"/>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243" w:type="dxa"/>
            <w:gridSpan w:val="6"/>
            <w:tcBorders/>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16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CSI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148,523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113,415 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266,304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203,663 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Other Healthcare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99,128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88,804 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190,687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172,297 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247,651</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202,219 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456,991</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375,960 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CSI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12,498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13,997 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18,810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23,640 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Other Healthcare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12,112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23,226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19,774 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24,610</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25,097 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42,036</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43,414 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left"/>
        <w:rPr/>
      </w:pPr>
      <w:r>
        <w:rPr>
          <w:rFonts w:ascii="Arial;sans-serif" w:hAnsi="Arial;sans-serif"/>
          <w:b w:val="false"/>
          <w:color w:val="000000"/>
          <w:sz w:val="20"/>
          <w:shd w:fill="FFFFFF" w:val="clear"/>
        </w:rPr>
        <w:t xml:space="preserve">The healthcare group </w:t>
      </w:r>
      <w:r>
        <w:rPr>
          <w:rFonts w:ascii="Arial;sans-serif" w:hAnsi="Arial;sans-serif"/>
          <w:b w:val="false"/>
          <w:color w:val="000000"/>
          <w:sz w:val="20"/>
        </w:rPr>
        <w:t xml:space="preserve">provides nursing care and prescription services for patients receiving in-home infusion treatments through its 93.4% interest in CSI Pharmacy Holding Company, LLC (CSI). In August 2025, CSI purchased Pine Drug Holdings, LLC and was issued a California pharmacy license, with dispensing operations commencing late in the fourth quarter of 2025. CSI revenue increased 31% in both the second quarter and first six months of 2026 from continued expansion of treatment offerings and patient service areas. Operating results were down in the second quarter and first six months of 2026 due to various operational investments including expanding CSI’s pharmacy facility locations; lower operating margins for certain products compared with the second quarter and first six months of 2025; and increased incentive compensation expense. The Company expects continued revenue growth at CSI for the remainder of 2026 compared with 2025. </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Healthcare also includes Graham Healthcare Group (GHG), which provides home health and hospice services in seven states. In March 2026, GHG acquired Covenant Home Health of Havertown, PA, a home health provider in Eastern Pennsylvania. Healthcare also includes Clarus (provides call management SaaS-based solution for physician groups and hospitals), Impact Medical (an allergy, asthma and immunology physician practice), Skin Clique (a concierge provider of aesthetics products and services) and Surpass Behavioral Health (provides therapy for autism patients). Revenue increased in other healthcare businesses by 12% and 11% in the second quarter and first six months of 2026 from growth in home health and hospice services and each of the other healthcare businesses. Operating results improved at home health and hospice in the second quarter and first six months of 2026, partly due to a reduction in pension expense. Overall, operating results declined at the other four healthcare businesses in the second quarter and first six months of 2026.</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Company also holds interests in four home health and hospice joint ventures managed by GHG, whose results are included in equity in earnings of affiliates in the Company’s Condensed Consolidated Statements of Operations. The Company recorded equity in earnings of $3.6 million and $3.4 million for the second quarters of 2026 and 2025, respectively, from these joint ventures. The Company recorded equity in earnings of $7.1 million and $6.6 million for the first six months of 2026 and 2025, respectively, from these joint ventures.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i/>
          <w:color w:val="000000"/>
          <w:sz w:val="20"/>
        </w:rPr>
      </w:pPr>
      <w:r>
        <w:rPr>
          <w:rFonts w:ascii="Arial;sans-serif" w:hAnsi="Arial;sans-serif"/>
          <w:b/>
          <w:i/>
          <w:color w:val="000000"/>
          <w:sz w:val="20"/>
        </w:rPr>
        <w:t>Manufacturing</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A summary of manufacturing’s operating results is as follows:</w:t>
      </w:r>
    </w:p>
    <w:tbl>
      <w:tblPr>
        <w:tblW w:w="9506" w:type="dxa"/>
        <w:jc w:val="left"/>
        <w:tblInd w:w="0" w:type="dxa"/>
        <w:tblLayout w:type="fixed"/>
        <w:tblCellMar>
          <w:top w:w="28" w:type="dxa"/>
          <w:left w:w="28" w:type="dxa"/>
          <w:bottom w:w="28" w:type="dxa"/>
          <w:right w:w="28" w:type="dxa"/>
        </w:tblCellMar>
      </w:tblPr>
      <w:tblGrid>
        <w:gridCol w:w="571"/>
        <w:gridCol w:w="501"/>
        <w:gridCol w:w="503"/>
        <w:gridCol w:w="211"/>
        <w:gridCol w:w="841"/>
        <w:gridCol w:w="109"/>
        <w:gridCol w:w="109"/>
        <w:gridCol w:w="109"/>
        <w:gridCol w:w="109"/>
        <w:gridCol w:w="211"/>
        <w:gridCol w:w="721"/>
        <w:gridCol w:w="109"/>
        <w:gridCol w:w="109"/>
        <w:gridCol w:w="109"/>
        <w:gridCol w:w="109"/>
        <w:gridCol w:w="290"/>
        <w:gridCol w:w="290"/>
        <w:gridCol w:w="291"/>
        <w:gridCol w:w="109"/>
        <w:gridCol w:w="109"/>
        <w:gridCol w:w="109"/>
        <w:gridCol w:w="211"/>
        <w:gridCol w:w="841"/>
        <w:gridCol w:w="109"/>
        <w:gridCol w:w="109"/>
        <w:gridCol w:w="109"/>
        <w:gridCol w:w="109"/>
        <w:gridCol w:w="211"/>
        <w:gridCol w:w="826"/>
        <w:gridCol w:w="109"/>
        <w:gridCol w:w="109"/>
        <w:gridCol w:w="109"/>
        <w:gridCol w:w="109"/>
        <w:gridCol w:w="268"/>
        <w:gridCol w:w="268"/>
        <w:gridCol w:w="380"/>
      </w:tblGrid>
      <w:tr>
        <w:trPr/>
        <w:tc>
          <w:tcPr>
            <w:tcW w:w="5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2529"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157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15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133,280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96,218 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258,314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194,223 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3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8"/>
              </w:rPr>
              <w:t>Op</w:t>
            </w:r>
            <w:r>
              <w:rPr>
                <w:rFonts w:ascii="Arial;sans-serif" w:hAnsi="Arial;sans-serif"/>
                <w:b w:val="false"/>
                <w:color w:val="000000"/>
                <w:sz w:val="18"/>
                <w:shd w:fill="FFFFFF" w:val="clear"/>
              </w:rPr>
              <w:t>erating Income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7,101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7,566 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15,101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13,046 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Manufacturing includes four businesses: Hoover, a supplier of pressure impregnated kiln-dried lumber and plywood products for fire retardant and preservative applications, and aluminum cladding products for the non-residential market; Dekko, a manufacturer of electrical workspace solutions, architectural lighting and electrical components and assemblies; Joyce, a manufacturer of screw jacks and other linear motion systems; and Forney, a global supplier of products and systems that control and monitor combustion processes in electric utility and industrial applications. On July 15, 2025, Hoover acquired Arconic Architectural Products, LLC, a wholly-owned subsidiary of Arconic Corporation (operating as Hoover Architectural Solutions), which manufactures aluminum cladding products and operates within the broader non-residential materials space from its facility in Eastman, GA. A significant portion of the purchase price was funded by the Company’s assumption of $107.5 million in net pension obligations.</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 xml:space="preserve">Manufacturing revenues increased 39% and 33% in the second quarter and first six months of 2026, respectively, due to increased revenues at Hoover, Joyce and Forney, partially offset by lower revenues at Dekko. The revenue increase at Hoover is due largely to the Hoover Architectural Solutions business acquisition. Excluding the acquisition, overall volumes increased in the second quarter and first six months of 2026. Hoover results included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wood gains on inventory sales in both the second quarter and first six months of 2026 and 2025. Manufacturing operating results declined in the second quarter of 2026 due to an overall decline at Hoover from increased intangible asset amortization and transition costs related to the Arconic acquisition, along with declines at Forney and Dekko, partially offset by significant growth at Joyce. Manufacturing operating results increased in the first six months of 2026 due to significant growth at Joyce, and improved results at Dekko. The increase was partially offset by an overall decline at Hoover from increased intangible asset amortization and transition costs related to the Arconic acquisition, and a modest decline at Forney.</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In the second quarter of 2026, the Company offered a VRIP to certain employees at Dekko; $2.0 million in related non-operating pension expense was recorded. In the first quarter of 2026, the Company offered a SIP to certain employees at Dekko and Joyce; $0.2 million in related non-operating pension expense was recorded. These programs were funded from the assets of the Company’s pension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i/>
          <w:color w:val="000000"/>
          <w:sz w:val="20"/>
        </w:rPr>
      </w:pPr>
      <w:r>
        <w:rPr>
          <w:rFonts w:ascii="Arial;sans-serif" w:hAnsi="Arial;sans-serif"/>
          <w:b/>
          <w:i/>
          <w:color w:val="000000"/>
          <w:sz w:val="20"/>
        </w:rPr>
        <w:t>Automotive</w:t>
      </w:r>
    </w:p>
    <w:p>
      <w:pPr>
        <w:pStyle w:val="TextBody"/>
        <w:bidi w:val="0"/>
        <w:spacing w:lineRule="auto" w:line="264" w:before="0" w:after="180"/>
        <w:jc w:val="left"/>
        <w:rPr/>
      </w:pPr>
      <w:r>
        <w:rPr>
          <w:rFonts w:ascii="Arial;sans-serif" w:hAnsi="Arial;sans-serif"/>
          <w:b w:val="false"/>
          <w:color w:val="000000"/>
          <w:sz w:val="20"/>
        </w:rPr>
        <w:t>A summary of automotive’s operating results is as follows:</w:t>
      </w:r>
      <w:r>
        <w:rPr>
          <w:color w:val="000000"/>
        </w:rPr>
        <w:t xml:space="preserve"> </w:t>
      </w:r>
    </w:p>
    <w:tbl>
      <w:tblPr>
        <w:tblW w:w="9611" w:type="dxa"/>
        <w:jc w:val="left"/>
        <w:tblInd w:w="0" w:type="dxa"/>
        <w:tblLayout w:type="fixed"/>
        <w:tblCellMar>
          <w:top w:w="28" w:type="dxa"/>
          <w:left w:w="28" w:type="dxa"/>
          <w:bottom w:w="28" w:type="dxa"/>
          <w:right w:w="28" w:type="dxa"/>
        </w:tblCellMar>
      </w:tblPr>
      <w:tblGrid>
        <w:gridCol w:w="571"/>
        <w:gridCol w:w="501"/>
        <w:gridCol w:w="503"/>
        <w:gridCol w:w="211"/>
        <w:gridCol w:w="841"/>
        <w:gridCol w:w="109"/>
        <w:gridCol w:w="109"/>
        <w:gridCol w:w="109"/>
        <w:gridCol w:w="109"/>
        <w:gridCol w:w="211"/>
        <w:gridCol w:w="826"/>
        <w:gridCol w:w="109"/>
        <w:gridCol w:w="109"/>
        <w:gridCol w:w="109"/>
        <w:gridCol w:w="109"/>
        <w:gridCol w:w="290"/>
        <w:gridCol w:w="290"/>
        <w:gridCol w:w="291"/>
        <w:gridCol w:w="109"/>
        <w:gridCol w:w="109"/>
        <w:gridCol w:w="109"/>
        <w:gridCol w:w="211"/>
        <w:gridCol w:w="841"/>
        <w:gridCol w:w="109"/>
        <w:gridCol w:w="109"/>
        <w:gridCol w:w="109"/>
        <w:gridCol w:w="109"/>
        <w:gridCol w:w="211"/>
        <w:gridCol w:w="826"/>
        <w:gridCol w:w="109"/>
        <w:gridCol w:w="109"/>
        <w:gridCol w:w="109"/>
        <w:gridCol w:w="109"/>
        <w:gridCol w:w="268"/>
        <w:gridCol w:w="268"/>
        <w:gridCol w:w="380"/>
      </w:tblGrid>
      <w:tr>
        <w:trPr/>
        <w:tc>
          <w:tcPr>
            <w:tcW w:w="5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26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157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15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301,352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285,572 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568,976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566,563 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0 </w:t>
            </w:r>
          </w:p>
        </w:tc>
        <w:tc>
          <w:tcPr>
            <w:tcW w:w="3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8,065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9,293 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13,373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15,785 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left"/>
        <w:rPr/>
      </w:pPr>
      <w:r>
        <w:rPr>
          <w:rFonts w:ascii="Arial;sans-serif" w:hAnsi="Arial;sans-serif"/>
          <w:b w:val="false"/>
          <w:color w:val="000000"/>
          <w:sz w:val="20"/>
        </w:rPr>
        <w:t>Automotive includ</w:t>
      </w:r>
      <w:r>
        <w:rPr>
          <w:rFonts w:ascii="Arial;sans-serif" w:hAnsi="Arial;sans-serif"/>
          <w:b w:val="false"/>
          <w:color w:val="000000"/>
          <w:sz w:val="20"/>
          <w:shd w:fill="FFFFFF" w:val="clear"/>
        </w:rPr>
        <w:t xml:space="preserve">es </w:t>
      </w:r>
      <w:r>
        <w:rPr>
          <w:rFonts w:ascii="Arial;sans-serif" w:hAnsi="Arial;sans-serif"/>
          <w:b w:val="false"/>
          <w:color w:val="000000"/>
          <w:sz w:val="20"/>
        </w:rPr>
        <w:t>eight</w:t>
      </w:r>
      <w:r>
        <w:rPr>
          <w:color w:val="000000"/>
          <w:shd w:fill="FFFFFF" w:val="clear"/>
        </w:rPr>
        <w:t xml:space="preserve"> </w:t>
      </w:r>
      <w:r>
        <w:rPr>
          <w:rFonts w:ascii="Arial;sans-serif" w:hAnsi="Arial;sans-serif"/>
          <w:b w:val="false"/>
          <w:color w:val="000000"/>
          <w:sz w:val="20"/>
          <w:shd w:fill="FFFFFF" w:val="clear"/>
        </w:rPr>
        <w:t>auto</w:t>
      </w:r>
      <w:r>
        <w:rPr>
          <w:rFonts w:ascii="Arial;sans-serif" w:hAnsi="Arial;sans-serif"/>
          <w:b w:val="false"/>
          <w:color w:val="000000"/>
          <w:sz w:val="20"/>
        </w:rPr>
        <w:t>motive dealerships in t</w:t>
      </w:r>
      <w:r>
        <w:rPr>
          <w:rFonts w:ascii="Arial;sans-serif" w:hAnsi="Arial;sans-serif"/>
          <w:b w:val="false"/>
          <w:color w:val="000000"/>
          <w:sz w:val="20"/>
          <w:shd w:fill="FFFFFF" w:val="clear"/>
        </w:rPr>
        <w:t xml:space="preserve">he Washington, DC metropolitan area and Richmond, VA: Ourisman Lexus of Rockville, Ourisman Honda of Tysons Corner, Ourisman Ford of </w:t>
      </w:r>
      <w:r>
        <w:rPr>
          <w:rFonts w:ascii="Arial;sans-serif" w:hAnsi="Arial;sans-serif"/>
          <w:b w:val="false"/>
          <w:color w:val="000000"/>
          <w:sz w:val="20"/>
        </w:rPr>
        <w:t xml:space="preserve">Manassas, Toyota of Woodbridge, Ourisman Chrysler-Dodge-Jeep-Ram of Woodbridge, Ourisman Toyota of Richmond, and Ourisman </w:t>
      </w:r>
      <w:r>
        <w:rPr>
          <w:rFonts w:ascii="Arial;sans-serif" w:hAnsi="Arial;sans-serif"/>
          <w:b w:val="false"/>
          <w:color w:val="000000"/>
          <w:sz w:val="20"/>
          <w:shd w:fill="FFFFFF" w:val="clear"/>
        </w:rPr>
        <w:t xml:space="preserve">Kia of Bethesda. </w:t>
      </w:r>
      <w:r>
        <w:rPr>
          <w:rFonts w:ascii="Arial;sans-serif" w:hAnsi="Arial;sans-serif"/>
          <w:b w:val="false"/>
          <w:color w:val="000000"/>
          <w:sz w:val="20"/>
        </w:rPr>
        <w:t>In addition, on October 21, 2025, the Company acquired a Honda automotive dealership in Woodbridge, VA, including the real property for the dealership operations. Automotive also includes Roda, which provides valet automotive repair services in the Washington, DC metropolitan area. Christopher J. Ourisman, a member of the Ourisman Automotive Group family of dealerships, and his team of industry professionals operate and manage the dealerships; the Company holds a 90% stake.</w:t>
      </w:r>
      <w:r>
        <w:rPr>
          <w:color w:val="000000"/>
          <w:shd w:fill="FFFFFF" w:val="clear"/>
        </w:rPr>
        <w:t xml:space="preserve"> </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Company ceased operations of the Ourisman Jeep of Bethesda dealership, which was closed in early September 2025.</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Revenues for the second quarter of 2026 increased 6% due partly to increased revenues from the Honda of Woodbridge dealership acquisition, offset by the closure of the Ourisman Jeep of Bethesda dealership in September 2025. Excluding these dealerships, revenues were down mostly from declines in used vehicle sales, partially offset by sales growth for new vehicles and services and parts. Operating results were down in the second quarter of 2026 due largely to lower gross profits on new and used vehicles, partially offset by earnings from the Honda of Woodbridge dealership acquisition, the closure of the Ourisman Jeep of Bethesda dealership, and higher overall gross profits on services and parts.</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Revenues for the first six months of 2026 increased slightly due partly to increased revenues from the Honda of Woodbridge dealership acquisition, offset by the closure of the Ourisman Jeep of Bethesda dealership in September 2025. Excluding these dealerships, revenues were down mostly from declines in new and used vehicle sales, partially offset by sales growth for services and parts. Operating results were down in the first six months of 2026 due largely to lower gross profits on new and used vehicles, partially offset by earnings from the Honda of Woodbridge dealership acquisition, the closure of the Ourisman Jeep of Bethesda dealership, and higher overall gross profits on services and parts.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180" w:after="180"/>
        <w:jc w:val="left"/>
        <w:rPr>
          <w:rFonts w:ascii="Arial;sans-serif" w:hAnsi="Arial;sans-serif"/>
          <w:b/>
          <w:i/>
          <w:color w:val="000000"/>
          <w:sz w:val="20"/>
        </w:rPr>
      </w:pPr>
      <w:r>
        <w:rPr>
          <w:rFonts w:ascii="Arial;sans-serif" w:hAnsi="Arial;sans-serif"/>
          <w:b/>
          <w:i/>
          <w:color w:val="000000"/>
          <w:sz w:val="20"/>
        </w:rPr>
        <w:t>Other Businesses</w:t>
      </w:r>
    </w:p>
    <w:p>
      <w:pPr>
        <w:pStyle w:val="TextBody"/>
        <w:bidi w:val="0"/>
        <w:spacing w:lineRule="auto" w:line="264" w:before="180" w:after="180"/>
        <w:jc w:val="left"/>
        <w:rPr>
          <w:rFonts w:ascii="Arial;sans-serif" w:hAnsi="Arial;sans-serif"/>
          <w:b w:val="false"/>
          <w:color w:val="000000"/>
          <w:sz w:val="20"/>
        </w:rPr>
      </w:pPr>
      <w:r>
        <w:rPr>
          <w:rFonts w:ascii="Arial;sans-serif" w:hAnsi="Arial;sans-serif"/>
          <w:b w:val="false"/>
          <w:color w:val="000000"/>
          <w:sz w:val="20"/>
        </w:rPr>
        <w:t>A summary of revenue by category for other businesses:</w:t>
      </w:r>
    </w:p>
    <w:tbl>
      <w:tblPr>
        <w:tblW w:w="9325" w:type="dxa"/>
        <w:jc w:val="left"/>
        <w:tblInd w:w="0" w:type="dxa"/>
        <w:tblLayout w:type="fixed"/>
        <w:tblCellMar>
          <w:top w:w="28" w:type="dxa"/>
          <w:left w:w="28" w:type="dxa"/>
          <w:bottom w:w="28" w:type="dxa"/>
          <w:right w:w="28" w:type="dxa"/>
        </w:tblCellMar>
      </w:tblPr>
      <w:tblGrid>
        <w:gridCol w:w="679"/>
        <w:gridCol w:w="596"/>
        <w:gridCol w:w="600"/>
        <w:gridCol w:w="211"/>
        <w:gridCol w:w="736"/>
        <w:gridCol w:w="109"/>
        <w:gridCol w:w="109"/>
        <w:gridCol w:w="109"/>
        <w:gridCol w:w="109"/>
        <w:gridCol w:w="211"/>
        <w:gridCol w:w="721"/>
        <w:gridCol w:w="109"/>
        <w:gridCol w:w="109"/>
        <w:gridCol w:w="109"/>
        <w:gridCol w:w="109"/>
        <w:gridCol w:w="225"/>
        <w:gridCol w:w="225"/>
        <w:gridCol w:w="226"/>
        <w:gridCol w:w="109"/>
        <w:gridCol w:w="109"/>
        <w:gridCol w:w="109"/>
        <w:gridCol w:w="211"/>
        <w:gridCol w:w="841"/>
        <w:gridCol w:w="109"/>
        <w:gridCol w:w="109"/>
        <w:gridCol w:w="109"/>
        <w:gridCol w:w="109"/>
        <w:gridCol w:w="211"/>
        <w:gridCol w:w="826"/>
        <w:gridCol w:w="109"/>
        <w:gridCol w:w="109"/>
        <w:gridCol w:w="109"/>
        <w:gridCol w:w="109"/>
        <w:gridCol w:w="218"/>
        <w:gridCol w:w="218"/>
        <w:gridCol w:w="299"/>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shd w:fill="FFFFFF" w:val="clear"/>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shd w:fill="FFFFFF" w:val="clear"/>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Change</w:t>
            </w:r>
          </w:p>
        </w:tc>
      </w:tr>
      <w:tr>
        <w:trPr/>
        <w:tc>
          <w:tcPr>
            <w:tcW w:w="18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Operating Revenues</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8"/>
              </w:rPr>
              <w:t xml:space="preserve">Specialty </w:t>
            </w:r>
            <w:r>
              <w:rPr>
                <w:rFonts w:ascii="Arial;sans-serif" w:hAnsi="Arial;sans-serif"/>
                <w:b w:val="false"/>
                <w:color w:val="000000"/>
                <w:sz w:val="12"/>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45,747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42,750 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84,825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81,513 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8"/>
              </w:rPr>
              <w:t xml:space="preserve">Retail </w:t>
            </w:r>
            <w:r>
              <w:rPr>
                <w:rFonts w:ascii="Arial;sans-serif" w:hAnsi="Arial;sans-serif"/>
                <w:b w:val="false"/>
                <w:color w:val="000000"/>
                <w:sz w:val="12"/>
              </w:rPr>
              <w:t>(2)</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30,588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27,257 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57,685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53,379 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000000"/>
                <w:sz w:val="18"/>
              </w:rPr>
              <w:t xml:space="preserve">Media </w:t>
            </w:r>
            <w:r>
              <w:rPr>
                <w:rFonts w:ascii="Arial;sans-serif" w:hAnsi="Arial;sans-serif"/>
                <w:b w:val="false"/>
                <w:color w:val="000000"/>
                <w:sz w:val="12"/>
              </w:rPr>
              <w:t>(3)</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16,504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18,963 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32,256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38,975 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92,839</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88,970 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174,766</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173,867 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20"/>
        <w:jc w:val="left"/>
        <w:rPr>
          <w:rFonts w:ascii="Arial;sans-serif" w:hAnsi="Arial;sans-serif"/>
          <w:b w:val="false"/>
          <w:color w:val="000000"/>
          <w:sz w:val="16"/>
        </w:rPr>
      </w:pPr>
      <w:r>
        <w:rPr>
          <w:rFonts w:ascii="Arial;sans-serif" w:hAnsi="Arial;sans-serif"/>
          <w:b w:val="false"/>
          <w:color w:val="000000"/>
          <w:sz w:val="16"/>
        </w:rPr>
        <w:t>____________</w:t>
      </w:r>
    </w:p>
    <w:tbl>
      <w:tblPr>
        <w:tblW w:w="7541" w:type="dxa"/>
        <w:jc w:val="left"/>
        <w:tblInd w:w="0" w:type="dxa"/>
        <w:tblLayout w:type="fixed"/>
        <w:tblCellMar>
          <w:top w:w="28" w:type="dxa"/>
          <w:left w:w="28" w:type="dxa"/>
          <w:bottom w:w="28" w:type="dxa"/>
          <w:right w:w="28" w:type="dxa"/>
        </w:tblCellMar>
      </w:tblPr>
      <w:tblGrid>
        <w:gridCol w:w="124"/>
        <w:gridCol w:w="109"/>
        <w:gridCol w:w="109"/>
        <w:gridCol w:w="2105"/>
        <w:gridCol w:w="2105"/>
        <w:gridCol w:w="29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16"/>
              </w:rPr>
            </w:pPr>
            <w:r>
              <w:rPr>
                <w:rFonts w:ascii="Arial;sans-serif" w:hAnsi="Arial;sans-serif"/>
                <w:b w:val="false"/>
                <w:color w:val="000000"/>
                <w:sz w:val="16"/>
              </w:rPr>
              <w:t>(1)</w:t>
            </w:r>
          </w:p>
        </w:tc>
        <w:tc>
          <w:tcPr>
            <w:tcW w:w="7199"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16"/>
              </w:rPr>
            </w:pPr>
            <w:r>
              <w:rPr>
                <w:rFonts w:ascii="Arial;sans-serif" w:hAnsi="Arial;sans-serif"/>
                <w:b w:val="false"/>
                <w:color w:val="000000"/>
                <w:sz w:val="16"/>
              </w:rPr>
              <w:t>Includes Clyde’s Restaurant Group (CRG), Decile and Supporting Cast</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16"/>
              </w:rPr>
            </w:pPr>
            <w:r>
              <w:rPr>
                <w:rFonts w:ascii="Arial;sans-serif" w:hAnsi="Arial;sans-serif"/>
                <w:b w:val="false"/>
                <w:color w:val="000000"/>
                <w:sz w:val="16"/>
              </w:rPr>
              <w:t>(2)</w:t>
            </w:r>
          </w:p>
        </w:tc>
        <w:tc>
          <w:tcPr>
            <w:tcW w:w="7199"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16"/>
              </w:rPr>
            </w:pPr>
            <w:r>
              <w:rPr>
                <w:rFonts w:ascii="Arial;sans-serif" w:hAnsi="Arial;sans-serif"/>
                <w:b w:val="false"/>
                <w:color w:val="000000"/>
                <w:sz w:val="16"/>
              </w:rPr>
              <w:t>Includes Framebridge, Saatchi Art and Society6</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16"/>
              </w:rPr>
            </w:pPr>
            <w:r>
              <w:rPr>
                <w:rFonts w:ascii="Arial;sans-serif" w:hAnsi="Arial;sans-serif"/>
                <w:b w:val="false"/>
                <w:color w:val="000000"/>
                <w:sz w:val="16"/>
              </w:rPr>
              <w:t>(3)</w:t>
            </w:r>
          </w:p>
        </w:tc>
        <w:tc>
          <w:tcPr>
            <w:tcW w:w="7199" w:type="dxa"/>
            <w:gridSpan w:val="3"/>
            <w:tcBorders/>
            <w:shd w:fill="FFFFFF" w:val="clear"/>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16"/>
              </w:rPr>
            </w:pPr>
            <w:r>
              <w:rPr>
                <w:rFonts w:ascii="Arial;sans-serif" w:hAnsi="Arial;sans-serif"/>
                <w:b w:val="false"/>
                <w:color w:val="000000"/>
                <w:sz w:val="16"/>
              </w:rPr>
              <w:t>Includes Slate, Foreign Policy, Code3, World of Good Brands (WGB) (sold in 2025) and City Cast</w:t>
            </w:r>
          </w:p>
        </w:tc>
      </w:tr>
    </w:tbl>
    <w:p>
      <w:pPr>
        <w:pStyle w:val="TextBody"/>
        <w:bidi w:val="0"/>
        <w:spacing w:lineRule="auto" w:line="264" w:before="0" w:after="180"/>
        <w:jc w:val="left"/>
        <w:rPr/>
      </w:pPr>
      <w:r>
        <w:rPr>
          <w:rFonts w:ascii="Arial;sans-serif" w:hAnsi="Arial;sans-serif"/>
          <w:b w:val="false"/>
          <w:color w:val="000000"/>
          <w:sz w:val="20"/>
        </w:rPr>
        <w:t xml:space="preserve">Overall, revenue from other businesses increased </w:t>
      </w:r>
      <w:r>
        <w:rPr>
          <w:rFonts w:ascii="Arial;sans-serif" w:hAnsi="Arial;sans-serif"/>
          <w:b w:val="false"/>
          <w:color w:val="000000"/>
          <w:sz w:val="20"/>
          <w:shd w:fill="FFFFFF" w:val="clear"/>
        </w:rPr>
        <w:t>4%</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shd w:fill="FFFFFF" w:val="clear"/>
        </w:rPr>
        <w:t>1%</w:t>
      </w:r>
      <w:r>
        <w:rPr>
          <w:color w:val="000000"/>
        </w:rPr>
        <w:t xml:space="preserve"> </w:t>
      </w:r>
      <w:r>
        <w:rPr>
          <w:rFonts w:ascii="Arial;sans-serif" w:hAnsi="Arial;sans-serif"/>
          <w:b w:val="false"/>
          <w:color w:val="000000"/>
          <w:sz w:val="20"/>
        </w:rPr>
        <w:t>in t</w:t>
      </w:r>
      <w:r>
        <w:rPr>
          <w:rFonts w:ascii="Arial;sans-serif" w:hAnsi="Arial;sans-serif"/>
          <w:b w:val="false"/>
          <w:color w:val="000000"/>
          <w:sz w:val="20"/>
          <w:shd w:fill="FFFFFF" w:val="clear"/>
        </w:rPr>
        <w:t xml:space="preserve">he second quarter and first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of 2026. Specialty revenue increased due to revenue growth at CRG and Supporting Cast. Retail revenue increased due to revenue growth at Framebridge and Saatchi Art, partially offset by lower revenue at Society6. </w:t>
      </w:r>
      <w:r>
        <w:rPr>
          <w:rFonts w:ascii="Arial;sans-serif" w:hAnsi="Arial;sans-serif"/>
          <w:b w:val="false"/>
          <w:color w:val="000000"/>
          <w:sz w:val="20"/>
        </w:rPr>
        <w:t>Media</w:t>
      </w:r>
      <w:r>
        <w:rPr>
          <w:color w:val="000000"/>
          <w:shd w:fill="FFFFFF" w:val="clear"/>
        </w:rPr>
        <w:t xml:space="preserve"> </w:t>
      </w:r>
      <w:r>
        <w:rPr>
          <w:rFonts w:ascii="Arial;sans-serif" w:hAnsi="Arial;sans-serif"/>
          <w:b w:val="false"/>
          <w:color w:val="000000"/>
          <w:sz w:val="20"/>
          <w:shd w:fill="FFFFFF" w:val="clear"/>
        </w:rPr>
        <w:t>revenue declined due to the sale of WGB and lower revenue at Slate and Code3</w:t>
      </w:r>
      <w:r>
        <w:rPr>
          <w:rFonts w:ascii="Arial;sans-serif" w:hAnsi="Arial;sans-serif"/>
          <w:b w:val="false"/>
          <w:color w:val="000000"/>
          <w:sz w:val="20"/>
        </w:rPr>
        <w:t>, p</w:t>
      </w:r>
      <w:r>
        <w:rPr>
          <w:rFonts w:ascii="Arial;sans-serif" w:hAnsi="Arial;sans-serif"/>
          <w:b w:val="false"/>
          <w:color w:val="000000"/>
          <w:sz w:val="20"/>
          <w:shd w:fill="FFFFFF" w:val="clear"/>
        </w:rPr>
        <w:t>artially offset by revenue growth at Foreign Policy</w:t>
      </w:r>
      <w:r>
        <w:rPr>
          <w:color w:val="000000"/>
        </w:rPr>
        <w:t xml:space="preserve"> </w:t>
      </w:r>
      <w:r>
        <w:rPr>
          <w:rFonts w:ascii="Arial;sans-serif" w:hAnsi="Arial;sans-serif"/>
          <w:b w:val="false"/>
          <w:color w:val="000000"/>
          <w:sz w:val="20"/>
          <w:shd w:fill="FFFFFF" w:val="clear"/>
        </w:rPr>
        <w:t>and City Cast.</w:t>
      </w:r>
    </w:p>
    <w:p>
      <w:pPr>
        <w:pStyle w:val="TextBody"/>
        <w:bidi w:val="0"/>
        <w:spacing w:lineRule="auto" w:line="264" w:before="0" w:after="180"/>
        <w:jc w:val="left"/>
        <w:rPr/>
      </w:pPr>
      <w:r>
        <w:rPr>
          <w:rFonts w:ascii="Arial;sans-serif" w:hAnsi="Arial;sans-serif"/>
          <w:b w:val="false"/>
          <w:color w:val="000000"/>
          <w:sz w:val="20"/>
        </w:rPr>
        <w:t>Overall, operating losses at other businesse</w:t>
      </w:r>
      <w:r>
        <w:rPr>
          <w:rFonts w:ascii="Arial;sans-serif" w:hAnsi="Arial;sans-serif"/>
          <w:b w:val="false"/>
          <w:color w:val="000000"/>
          <w:sz w:val="20"/>
          <w:shd w:fill="FFFFFF" w:val="clear"/>
        </w:rPr>
        <w:t xml:space="preserve">s were down in the second quarter and first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months of 2026, due to a reduction of losses from the sale of WGB and improved results</w:t>
      </w:r>
      <w:r>
        <w:rPr>
          <w:color w:val="000000"/>
        </w:rPr>
        <w:t xml:space="preserve"> </w:t>
      </w:r>
      <w:r>
        <w:rPr>
          <w:rFonts w:ascii="Arial;sans-serif" w:hAnsi="Arial;sans-serif"/>
          <w:b w:val="false"/>
          <w:color w:val="000000"/>
          <w:sz w:val="20"/>
        </w:rPr>
        <w:t xml:space="preserve">at Society6, Saatchi Art, Decile, Code3 and Supporting Cast, partially offset by declines at CRG, Framebridge, Slate, City Cast and Foreign Policy. </w:t>
      </w:r>
    </w:p>
    <w:p>
      <w:pPr>
        <w:pStyle w:val="TextBody"/>
        <w:bidi w:val="0"/>
        <w:spacing w:lineRule="auto" w:line="264" w:before="0" w:after="18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Clyde’s Restaurant Group</w:t>
      </w:r>
    </w:p>
    <w:p>
      <w:pPr>
        <w:pStyle w:val="TextBody"/>
        <w:bidi w:val="0"/>
        <w:spacing w:lineRule="auto" w:line="264" w:before="0" w:after="180"/>
        <w:jc w:val="left"/>
        <w:rPr/>
      </w:pPr>
      <w:r>
        <w:rPr>
          <w:rFonts w:ascii="Arial;sans-serif" w:hAnsi="Arial;sans-serif"/>
          <w:b w:val="false"/>
          <w:color w:val="000000"/>
          <w:sz w:val="20"/>
          <w:shd w:fill="FFFFFF" w:val="clear"/>
        </w:rPr>
        <w:t xml:space="preserve">CRG owns and operates </w:t>
      </w:r>
      <w:r>
        <w:rPr>
          <w:rFonts w:ascii="Arial;sans-serif" w:hAnsi="Arial;sans-serif"/>
          <w:b w:val="false"/>
          <w:color w:val="000000"/>
          <w:sz w:val="20"/>
        </w:rPr>
        <w:t>14</w:t>
      </w:r>
      <w:r>
        <w:rPr>
          <w:color w:val="000000"/>
          <w:shd w:fill="FFFFFF" w:val="clear"/>
        </w:rPr>
        <w:t xml:space="preserve"> </w:t>
      </w:r>
      <w:r>
        <w:rPr>
          <w:rFonts w:ascii="Arial;sans-serif" w:hAnsi="Arial;sans-serif"/>
          <w:b w:val="false"/>
          <w:color w:val="000000"/>
          <w:sz w:val="20"/>
          <w:shd w:fill="FFFFFF" w:val="clear"/>
        </w:rPr>
        <w:t xml:space="preserve">restaurants and entertainment venues in the Washington, DC metropolitan area, including Old Ebbitt Grill and The Hamilton. </w:t>
      </w:r>
      <w:r>
        <w:rPr>
          <w:rFonts w:ascii="Arial;sans-serif" w:hAnsi="Arial;sans-serif"/>
          <w:b w:val="false"/>
          <w:color w:val="000000"/>
          <w:sz w:val="20"/>
        </w:rPr>
        <w:t xml:space="preserve">Revenue was up in the second quarter and first six months of </w:t>
      </w:r>
      <w:r>
        <w:rPr>
          <w:rFonts w:ascii="Arial;sans-serif" w:hAnsi="Arial;sans-serif"/>
          <w:b w:val="false"/>
          <w:color w:val="000000"/>
          <w:sz w:val="20"/>
          <w:shd w:fill="FFFFFF" w:val="clear"/>
        </w:rPr>
        <w:t xml:space="preserve">2026. CRG reported an operating profit for the </w:t>
      </w:r>
      <w:r>
        <w:rPr>
          <w:rFonts w:ascii="Arial;sans-serif" w:hAnsi="Arial;sans-serif"/>
          <w:b w:val="false"/>
          <w:color w:val="000000"/>
          <w:sz w:val="20"/>
        </w:rPr>
        <w:t>second</w:t>
      </w:r>
      <w:r>
        <w:rPr>
          <w:color w:val="000000"/>
          <w:shd w:fill="FFFFFF" w:val="clear"/>
        </w:rPr>
        <w:t xml:space="preserve"> </w:t>
      </w:r>
      <w:r>
        <w:rPr>
          <w:rFonts w:ascii="Arial;sans-serif" w:hAnsi="Arial;sans-serif"/>
          <w:b w:val="false"/>
          <w:color w:val="000000"/>
          <w:sz w:val="20"/>
          <w:shd w:fill="FFFFFF" w:val="clear"/>
        </w:rPr>
        <w:t xml:space="preserve">quarter and first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of 2026 and </w:t>
      </w:r>
      <w:r>
        <w:rPr>
          <w:rFonts w:ascii="Arial;sans-serif" w:hAnsi="Arial;sans-serif"/>
          <w:b w:val="false"/>
          <w:color w:val="000000"/>
          <w:sz w:val="20"/>
        </w:rPr>
        <w:t xml:space="preserve">2025, with operating results down for the first half of </w:t>
      </w:r>
      <w:r>
        <w:rPr>
          <w:rFonts w:ascii="Arial;sans-serif" w:hAnsi="Arial;sans-serif"/>
          <w:b w:val="false"/>
          <w:color w:val="000000"/>
          <w:sz w:val="20"/>
          <w:shd w:fill="FFFFFF" w:val="clear"/>
        </w:rPr>
        <w:t>2026</w:t>
      </w:r>
      <w:r>
        <w:rPr>
          <w:color w:val="000000"/>
        </w:rPr>
        <w:t xml:space="preserve"> </w:t>
      </w:r>
      <w:r>
        <w:rPr>
          <w:rFonts w:ascii="Arial;sans-serif" w:hAnsi="Arial;sans-serif"/>
          <w:b w:val="false"/>
          <w:color w:val="000000"/>
          <w:sz w:val="20"/>
        </w:rPr>
        <w:t>due to severe weather conditions and the temporary closure of two restaurants and related repair work that was completed early in the first quarter of 2026.</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 xml:space="preserve">In the second quarter of 2026, operations commenced under a Clyde’s licensing agreement at Dulles International Airport. CRG plans to open a new restaurant in Reston, VA in the fourth quarter of 2026. </w:t>
      </w:r>
    </w:p>
    <w:p>
      <w:pPr>
        <w:pStyle w:val="TextBody"/>
        <w:bidi w:val="0"/>
        <w:spacing w:lineRule="auto" w:line="264" w:before="0" w:after="180"/>
        <w:jc w:val="left"/>
        <w:rPr>
          <w:rFonts w:ascii="Arial;sans-serif" w:hAnsi="Arial;sans-serif"/>
          <w:b w:val="false"/>
          <w:i/>
          <w:color w:val="000000"/>
          <w:sz w:val="20"/>
        </w:rPr>
      </w:pPr>
      <w:r>
        <w:rPr>
          <w:rFonts w:ascii="Arial;sans-serif" w:hAnsi="Arial;sans-serif"/>
          <w:b w:val="false"/>
          <w:i/>
          <w:color w:val="000000"/>
          <w:sz w:val="20"/>
        </w:rPr>
        <w:t>Framebridge</w:t>
      </w:r>
    </w:p>
    <w:p>
      <w:pPr>
        <w:pStyle w:val="TextBody"/>
        <w:bidi w:val="0"/>
        <w:spacing w:lineRule="auto" w:line="264" w:before="0" w:after="180"/>
        <w:jc w:val="left"/>
        <w:rPr/>
      </w:pPr>
      <w:r>
        <w:rPr>
          <w:rFonts w:ascii="Arial;sans-serif" w:hAnsi="Arial;sans-serif"/>
          <w:b w:val="false"/>
          <w:color w:val="000000"/>
          <w:sz w:val="20"/>
          <w:shd w:fill="FFFFFF" w:val="clear"/>
        </w:rPr>
        <w:t>Framebridge is a custom framing service company, headquartered in the Washington, DC metropolitan area, wi</w:t>
      </w:r>
      <w:r>
        <w:rPr>
          <w:rFonts w:ascii="Arial;sans-serif" w:hAnsi="Arial;sans-serif"/>
          <w:b w:val="false"/>
          <w:color w:val="000000"/>
          <w:sz w:val="20"/>
        </w:rPr>
        <w:t>th 48 retail locations, and four manufacturing facilities in Kentucky, Virginia and Nevada (opened in the third quarter of 2025). In the first six months of 2026, Framebridge opened four new retail stores. Framebridge plans to open additional stores and manufacturing facilities in the second half of 2026, and continues to actively explore other opportunities for further store and manufacturing expansion.</w:t>
      </w:r>
    </w:p>
    <w:p>
      <w:pPr>
        <w:pStyle w:val="TextBody"/>
        <w:bidi w:val="0"/>
        <w:spacing w:lineRule="auto" w:line="264" w:before="0" w:after="180"/>
        <w:jc w:val="left"/>
        <w:rPr/>
      </w:pPr>
      <w:r>
        <w:rPr>
          <w:rFonts w:ascii="Arial;sans-serif" w:hAnsi="Arial;sans-serif"/>
          <w:b w:val="false"/>
          <w:color w:val="000000"/>
          <w:sz w:val="20"/>
        </w:rPr>
        <w:t xml:space="preserve">Revenues grew in the second quarter and first six months of 2026 due to an increase in retail revenue from same-store sales growth and operating additional retail stores compared to the same periods in 2025, and a modest increase in online revenues. </w:t>
      </w:r>
      <w:r>
        <w:rPr>
          <w:rFonts w:ascii="Arial;sans-serif" w:hAnsi="Arial;sans-serif"/>
          <w:b w:val="false"/>
          <w:color w:val="000000"/>
          <w:sz w:val="20"/>
          <w:shd w:fill="FFFFFF" w:val="clear"/>
        </w:rPr>
        <w:t>F</w:t>
      </w:r>
      <w:r>
        <w:rPr>
          <w:rFonts w:ascii="Arial;sans-serif" w:hAnsi="Arial;sans-serif"/>
          <w:b w:val="false"/>
          <w:color w:val="000000"/>
          <w:sz w:val="20"/>
        </w:rPr>
        <w:t>ramebridge is an investment stage business and reported significant operating losses in the first six</w:t>
      </w:r>
      <w:r>
        <w:rPr>
          <w:color w:val="000000"/>
          <w:shd w:fill="FFFFFF" w:val="clear"/>
        </w:rPr>
        <w:t xml:space="preserve"> </w:t>
      </w:r>
      <w:r>
        <w:rPr>
          <w:rFonts w:ascii="Arial;sans-serif" w:hAnsi="Arial;sans-serif"/>
          <w:b w:val="false"/>
          <w:color w:val="000000"/>
          <w:sz w:val="20"/>
          <w:shd w:fill="FFFFFF" w:val="clear"/>
        </w:rPr>
        <w:t xml:space="preserve">months </w:t>
      </w:r>
      <w:r>
        <w:rPr>
          <w:rFonts w:ascii="Arial;sans-serif" w:hAnsi="Arial;sans-serif"/>
          <w:b w:val="false"/>
          <w:color w:val="000000"/>
          <w:sz w:val="20"/>
        </w:rPr>
        <w:t xml:space="preserve">of </w:t>
      </w:r>
      <w:r>
        <w:rPr>
          <w:rFonts w:ascii="Arial;sans-serif" w:hAnsi="Arial;sans-serif"/>
          <w:b w:val="false"/>
          <w:color w:val="000000"/>
          <w:sz w:val="20"/>
          <w:shd w:fill="FFFFFF" w:val="clear"/>
        </w:rPr>
        <w:t>2026</w:t>
      </w:r>
      <w:r>
        <w:rPr>
          <w:color w:val="000000"/>
        </w:rPr>
        <w:t xml:space="preserve"> </w:t>
      </w:r>
      <w:r>
        <w:rPr>
          <w:rFonts w:ascii="Arial;sans-serif" w:hAnsi="Arial;sans-serif"/>
          <w:b w:val="false"/>
          <w:color w:val="000000"/>
          <w:sz w:val="20"/>
        </w:rPr>
        <w:t>and 2025. Framebridge operating results include ongoing expansion investments from new retail store openings and manufacturing facilities.</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In the first quarter of 2026, the Company offered a SIP to certain employees at Framebridge; $0.2 million in related non-operating pension expense was recorded. This program was funded from the assets of the Company’s pension plan.</w:t>
      </w:r>
    </w:p>
    <w:p>
      <w:pPr>
        <w:pStyle w:val="TextBody"/>
        <w:bidi w:val="0"/>
        <w:spacing w:lineRule="auto" w:line="264" w:before="0" w:after="180"/>
        <w:jc w:val="left"/>
        <w:rPr>
          <w:rFonts w:ascii="Arial;sans-serif" w:hAnsi="Arial;sans-serif"/>
          <w:b w:val="false"/>
          <w:i/>
          <w:color w:val="000000"/>
          <w:sz w:val="20"/>
        </w:rPr>
      </w:pPr>
      <w:r>
        <w:rPr>
          <w:rFonts w:ascii="Arial;sans-serif" w:hAnsi="Arial;sans-serif"/>
          <w:b w:val="false"/>
          <w:i/>
          <w:color w:val="000000"/>
          <w:sz w:val="20"/>
        </w:rPr>
        <w:t>Other</w:t>
      </w:r>
    </w:p>
    <w:p>
      <w:pPr>
        <w:pStyle w:val="TextBody"/>
        <w:bidi w:val="0"/>
        <w:spacing w:lineRule="auto" w:line="264" w:before="180" w:after="180"/>
        <w:jc w:val="left"/>
        <w:rPr>
          <w:rFonts w:ascii="Arial;sans-serif" w:hAnsi="Arial;sans-serif"/>
          <w:b w:val="false"/>
          <w:color w:val="000000"/>
          <w:sz w:val="20"/>
        </w:rPr>
      </w:pPr>
      <w:r>
        <w:rPr>
          <w:rFonts w:ascii="Arial;sans-serif" w:hAnsi="Arial;sans-serif"/>
          <w:b w:val="false"/>
          <w:color w:val="000000"/>
          <w:sz w:val="20"/>
        </w:rPr>
        <w:t>Other businesses also include Code3, a performance marketing agency focused on driving performance for brands though three core elements of digital success: media, creative and commerce; Slate and Foreign Policy, which publish online and print magazines and websites; Saatchi Art and Society6, which offer art and designs of various consumer products; and three investment stage businesses, Decile, City Cast and Supporting Cast. Foreign Policy, Saatchi Art, Supporting Cast and City Cast reported revenue growth in the first six months of 2026, while Society6, Slate, Code3 and Decile reported revenue declines. Losses from City Cast, Society6, Slate, Decile, Saatchi Art and Code3 in the first six months of 2026 adversely affected operating results, while Foreign Policy reported an operating profit.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180"/>
        <w:jc w:val="left"/>
        <w:rPr/>
      </w:pPr>
      <w:r>
        <w:rPr>
          <w:rFonts w:ascii="Arial;sans-serif" w:hAnsi="Arial;sans-serif"/>
          <w:b w:val="false"/>
          <w:color w:val="000000"/>
          <w:sz w:val="20"/>
        </w:rPr>
        <w:t xml:space="preserve">In the second quarter of 2026, the Company offered a SIP to certain employees at Code3 and Slate; $0.3 million in related non-operating pension expense was recorded. In the first quarter of 2026, the Company offered SIPs to certain employees at Slate and Code3; $1.0 million in related non-operating pension expense was recorded. In the second quarter of 2025, the Company offered SIPs to certain employees at Code3, Saatchi Art, Society6, WGB and Decile; $5.2 million in related non-operating pension expense was recorded. In the first quarter of 2025, WGB offered a SIP; $0.6 million in related non-operating pension expense was recorded. These programs were </w:t>
      </w:r>
      <w:r>
        <w:rPr>
          <w:rFonts w:ascii="Arial;sans-serif" w:hAnsi="Arial;sans-serif"/>
          <w:b w:val="false"/>
          <w:color w:val="000000"/>
          <w:sz w:val="20"/>
          <w:shd w:fill="FFFFFF" w:val="clear"/>
        </w:rPr>
        <w:t>fu</w:t>
      </w:r>
      <w:r>
        <w:rPr>
          <w:rFonts w:ascii="Arial;sans-serif" w:hAnsi="Arial;sans-serif"/>
          <w:b w:val="false"/>
          <w:color w:val="000000"/>
          <w:sz w:val="20"/>
        </w:rPr>
        <w:t>nded from the assets of the Company’s pension p</w:t>
      </w:r>
      <w:r>
        <w:rPr>
          <w:rFonts w:ascii="Arial;sans-serif" w:hAnsi="Arial;sans-serif"/>
          <w:b w:val="false"/>
          <w:color w:val="000000"/>
          <w:sz w:val="20"/>
          <w:shd w:fill="FFFFFF" w:val="clear"/>
        </w:rPr>
        <w:t>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i/>
          <w:color w:val="000000"/>
          <w:sz w:val="20"/>
        </w:rPr>
      </w:pPr>
      <w:r>
        <w:rPr>
          <w:rFonts w:ascii="Arial;sans-serif" w:hAnsi="Arial;sans-serif"/>
          <w:b/>
          <w:i/>
          <w:color w:val="000000"/>
          <w:sz w:val="20"/>
        </w:rPr>
        <w:t>Corporate Office</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Corporate office includes the expenses of the Company’s corporate office and certain continuing obligations related to prior business dispositions. Corporate expenses were higher in the first half of 2026 due largely to increased legal and tax professional services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pPr>
      <w:r>
        <w:rPr>
          <w:rFonts w:ascii="Arial;sans-serif" w:hAnsi="Arial;sans-serif"/>
          <w:b/>
          <w:color w:val="000000"/>
          <w:sz w:val="20"/>
          <w:u w:val="single"/>
        </w:rPr>
        <w:t>Equit</w:t>
      </w:r>
      <w:r>
        <w:rPr>
          <w:rFonts w:ascii="Arial;sans-serif" w:hAnsi="Arial;sans-serif"/>
          <w:b/>
          <w:color w:val="000000"/>
          <w:sz w:val="20"/>
          <w:u w:val="single"/>
          <w:shd w:fill="FFFFFF" w:val="clear"/>
        </w:rPr>
        <w:t>y in Earnin</w:t>
      </w:r>
      <w:r>
        <w:rPr>
          <w:rFonts w:ascii="Arial;sans-serif" w:hAnsi="Arial;sans-serif"/>
          <w:b/>
          <w:color w:val="000000"/>
          <w:sz w:val="20"/>
          <w:u w:val="single"/>
        </w:rPr>
        <w:t>gs (Losses)</w:t>
      </w:r>
      <w:r>
        <w:rPr>
          <w:color w:val="000000"/>
          <w:u w:val="single"/>
          <w:shd w:fill="FFFFFF" w:val="clear"/>
        </w:rPr>
        <w:t xml:space="preserve"> </w:t>
      </w:r>
      <w:r>
        <w:rPr>
          <w:rFonts w:ascii="Arial;sans-serif" w:hAnsi="Arial;sans-serif"/>
          <w:b/>
          <w:color w:val="000000"/>
          <w:sz w:val="20"/>
          <w:u w:val="single"/>
          <w:shd w:fill="FFFFFF" w:val="clear"/>
        </w:rPr>
        <w:t>of</w:t>
      </w:r>
      <w:r>
        <w:rPr>
          <w:color w:val="000000"/>
          <w:u w:val="single"/>
        </w:rPr>
        <w:t xml:space="preserve"> </w:t>
      </w:r>
      <w:r>
        <w:rPr>
          <w:rFonts w:ascii="Arial;sans-serif" w:hAnsi="Arial;sans-serif"/>
          <w:b/>
          <w:color w:val="000000"/>
          <w:sz w:val="20"/>
          <w:u w:val="single"/>
        </w:rPr>
        <w:t>Affiliates</w:t>
      </w:r>
    </w:p>
    <w:p>
      <w:pPr>
        <w:pStyle w:val="TextBody"/>
        <w:bidi w:val="0"/>
        <w:spacing w:lineRule="auto" w:line="264" w:before="180" w:after="180"/>
        <w:jc w:val="left"/>
        <w:rPr>
          <w:rFonts w:ascii="Arial;sans-serif" w:hAnsi="Arial;sans-serif"/>
          <w:b w:val="false"/>
          <w:color w:val="000000"/>
          <w:sz w:val="20"/>
        </w:rPr>
      </w:pPr>
      <w:r>
        <w:rPr>
          <w:rFonts w:ascii="Arial;sans-serif" w:hAnsi="Arial;sans-serif"/>
          <w:b w:val="false"/>
          <w:color w:val="000000"/>
          <w:sz w:val="20"/>
        </w:rPr>
        <w:t xml:space="preserve">At June 30, 2026, the Company held an approximate 25% interest in Intersection, a company that provides digital marketing and advertising services and products for cities, transit systems, airports, and other public and private spaces; and a 41.4% interest on a fully diluted basis in Realm. The Company also holds interests in several other affiliates, including a number of home health and hospice joint ventures managed by GHG and a joint venture managed by Kaplan. Overall, the Company recorded equity in losses of affiliates of $19.9 million for the second quarter of 2026, compared to earnings of $3.1 million for the second quarter of 2025. These amounts include $17.9 million and $0.4 million in net losses for the second quarter of 2026 and 2025, respectively, from affiliates whose operations are not managed by the Company. The 2026 amount also included a $5.8 million impairment loss on the Company’s investment in Realm. </w:t>
      </w:r>
    </w:p>
    <w:p>
      <w:pPr>
        <w:pStyle w:val="TextBody"/>
        <w:bidi w:val="0"/>
        <w:spacing w:lineRule="auto" w:line="264" w:before="180" w:after="180"/>
        <w:jc w:val="left"/>
        <w:rPr>
          <w:rFonts w:ascii="Arial;sans-serif" w:hAnsi="Arial;sans-serif"/>
          <w:b w:val="false"/>
          <w:color w:val="000000"/>
          <w:sz w:val="20"/>
        </w:rPr>
      </w:pPr>
      <w:r>
        <w:rPr>
          <w:rFonts w:ascii="Arial;sans-serif" w:hAnsi="Arial;sans-serif"/>
          <w:b w:val="false"/>
          <w:color w:val="000000"/>
          <w:sz w:val="20"/>
        </w:rPr>
        <w:t xml:space="preserve">The Company recorded equity in earnings of affiliates of $15.0 million for the first six months of 2026, compared to losses of $5.3 million for the first six months of 2025. These amounts include $13.1 million in net earnings and $12.3 million in net losses for the first six months of 2026 and 2025, respectively, from affiliates whose operations are not managed by the Company. The 2026 amount also included a $5.8 million impairment loss on the Company’s investment in Realm.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u w:val="single"/>
        </w:rPr>
      </w:pPr>
      <w:r>
        <w:rPr>
          <w:rFonts w:ascii="Arial;sans-serif" w:hAnsi="Arial;sans-serif"/>
          <w:b/>
          <w:color w:val="000000"/>
          <w:sz w:val="20"/>
          <w:u w:val="single"/>
        </w:rPr>
        <w:t>Net Interest Expense and Related Balances</w:t>
      </w:r>
    </w:p>
    <w:p>
      <w:pPr>
        <w:pStyle w:val="TextBody"/>
        <w:bidi w:val="0"/>
        <w:spacing w:lineRule="auto" w:line="264" w:before="0" w:after="180"/>
        <w:jc w:val="left"/>
        <w:rPr/>
      </w:pPr>
      <w:r>
        <w:rPr>
          <w:rFonts w:ascii="Arial;sans-serif" w:hAnsi="Arial;sans-serif"/>
          <w:b w:val="false"/>
          <w:color w:val="000000"/>
          <w:sz w:val="20"/>
        </w:rPr>
        <w:t xml:space="preserve">On November 24, 2025, the Company issued $500 million of 5.625% unsecured eight-year fixed-rate notes due December 1, 2033 (the Notes). Interest is paid semi-annually on June 1 and December 1. </w:t>
      </w:r>
      <w:r>
        <w:rPr>
          <w:rFonts w:ascii="Arial;sans-serif" w:hAnsi="Arial;sans-serif"/>
          <w:b w:val="false"/>
          <w:color w:val="000000"/>
          <w:sz w:val="20"/>
          <w:shd w:fill="FFFFFF" w:val="clear"/>
        </w:rPr>
        <w:t xml:space="preserve">Also on November 24, 2025, the Company used the net proceeds from the sale of the Notes, together with the borrowings under the revolving credit agreement, to (i) redeem the </w:t>
      </w:r>
      <w:r>
        <w:rPr>
          <w:rFonts w:ascii="Arial;sans-serif" w:hAnsi="Arial;sans-serif"/>
          <w:b w:val="false"/>
          <w:color w:val="000000"/>
          <w:sz w:val="20"/>
        </w:rPr>
        <w:t>$400 million</w:t>
      </w:r>
      <w:r>
        <w:rPr>
          <w:color w:val="000000"/>
          <w:shd w:fill="FFFFFF" w:val="clear"/>
        </w:rPr>
        <w:t xml:space="preserve"> </w:t>
      </w:r>
      <w:r>
        <w:rPr>
          <w:rFonts w:ascii="Arial;sans-serif" w:hAnsi="Arial;sans-serif"/>
          <w:b w:val="false"/>
          <w:color w:val="000000"/>
          <w:sz w:val="20"/>
          <w:shd w:fill="FFFFFF" w:val="clear"/>
        </w:rPr>
        <w:t xml:space="preserve">of </w:t>
      </w:r>
      <w:r>
        <w:rPr>
          <w:rFonts w:ascii="Arial;sans-serif" w:hAnsi="Arial;sans-serif"/>
          <w:b w:val="false"/>
          <w:color w:val="000000"/>
          <w:sz w:val="20"/>
        </w:rPr>
        <w:t>5.75%</w:t>
      </w:r>
      <w:r>
        <w:rPr>
          <w:color w:val="000000"/>
          <w:shd w:fill="FFFFFF" w:val="clear"/>
        </w:rPr>
        <w:t xml:space="preserve"> </w:t>
      </w:r>
      <w:r>
        <w:rPr>
          <w:rFonts w:ascii="Arial;sans-serif" w:hAnsi="Arial;sans-serif"/>
          <w:b w:val="false"/>
          <w:color w:val="000000"/>
          <w:sz w:val="20"/>
          <w:shd w:fill="FFFFFF" w:val="clear"/>
        </w:rPr>
        <w:t xml:space="preserve">unsecured notes due June 1, 2026, (ii) refinance outstanding revolving loans under the existing revolving credit facility, and (iii) repay all amounts outstanding under the Company’s existing </w:t>
      </w:r>
      <w:r>
        <w:rPr>
          <w:rFonts w:ascii="Arial;sans-serif" w:hAnsi="Arial;sans-serif"/>
          <w:b w:val="false"/>
          <w:color w:val="000000"/>
          <w:sz w:val="20"/>
        </w:rPr>
        <w:t>$150 million</w:t>
      </w:r>
      <w:r>
        <w:rPr>
          <w:color w:val="000000"/>
          <w:shd w:fill="FFFFFF" w:val="clear"/>
        </w:rPr>
        <w:t xml:space="preserve"> </w:t>
      </w:r>
      <w:r>
        <w:rPr>
          <w:rFonts w:ascii="Arial;sans-serif" w:hAnsi="Arial;sans-serif"/>
          <w:b w:val="false"/>
          <w:color w:val="000000"/>
          <w:sz w:val="20"/>
          <w:shd w:fill="FFFFFF" w:val="clear"/>
        </w:rPr>
        <w:t xml:space="preserve">term loan. </w:t>
      </w:r>
      <w:r>
        <w:rPr>
          <w:rFonts w:ascii="Arial;sans-serif" w:hAnsi="Arial;sans-serif"/>
          <w:b w:val="false"/>
          <w:color w:val="000000"/>
          <w:sz w:val="20"/>
        </w:rPr>
        <w:t>On October 21, 2025, the automotive subsidiary borrowed $38.7 million under the delayed draw term loan to finance the acquisition of a Honda automotive dealership, including the real property for the dealership operations.</w:t>
      </w:r>
    </w:p>
    <w:p>
      <w:pPr>
        <w:pStyle w:val="TextBody"/>
        <w:bidi w:val="0"/>
        <w:spacing w:lineRule="auto" w:line="264" w:before="0" w:after="180"/>
        <w:jc w:val="left"/>
        <w:rPr/>
      </w:pPr>
      <w:r>
        <w:rPr>
          <w:rFonts w:ascii="Arial;sans-serif" w:hAnsi="Arial;sans-serif"/>
          <w:b w:val="false"/>
          <w:color w:val="000000"/>
          <w:sz w:val="20"/>
        </w:rPr>
        <w:t xml:space="preserve">The Company incurred net interest expense of </w:t>
      </w:r>
      <w:r>
        <w:rPr>
          <w:rFonts w:ascii="Arial;sans-serif" w:hAnsi="Arial;sans-serif"/>
          <w:b w:val="false"/>
          <w:color w:val="000000"/>
          <w:sz w:val="20"/>
          <w:shd w:fill="FFFFFF" w:val="clear"/>
        </w:rPr>
        <w:t>$15.3 million</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shd w:fill="FFFFFF" w:val="clear"/>
        </w:rPr>
        <w:t>$29.0 million</w:t>
      </w:r>
      <w:r>
        <w:rPr>
          <w:color w:val="000000"/>
        </w:rPr>
        <w:t xml:space="preserve"> </w:t>
      </w:r>
      <w:r>
        <w:rPr>
          <w:rFonts w:ascii="Arial;sans-serif" w:hAnsi="Arial;sans-serif"/>
          <w:b w:val="false"/>
          <w:color w:val="000000"/>
          <w:sz w:val="20"/>
        </w:rPr>
        <w:t xml:space="preserve">for the second quarter and first six months of 2026, compared to $15.8 million and </w:t>
      </w:r>
      <w:r>
        <w:rPr>
          <w:rFonts w:ascii="Arial;sans-serif" w:hAnsi="Arial;sans-serif"/>
          <w:b w:val="false"/>
          <w:color w:val="000000"/>
          <w:sz w:val="20"/>
          <w:shd w:fill="FFFFFF" w:val="clear"/>
        </w:rPr>
        <w:t>$95.6 million</w:t>
      </w:r>
      <w:r>
        <w:rPr>
          <w:color w:val="000000"/>
        </w:rPr>
        <w:t xml:space="preserve"> </w:t>
      </w:r>
      <w:r>
        <w:rPr>
          <w:rFonts w:ascii="Arial;sans-serif" w:hAnsi="Arial;sans-serif"/>
          <w:b w:val="false"/>
          <w:color w:val="000000"/>
          <w:sz w:val="20"/>
        </w:rPr>
        <w:t xml:space="preserve">for the second quarter and first six months of 2025. </w:t>
      </w:r>
    </w:p>
    <w:p>
      <w:pPr>
        <w:pStyle w:val="TextBody"/>
        <w:bidi w:val="0"/>
        <w:spacing w:lineRule="auto" w:line="264" w:before="0" w:after="180"/>
        <w:jc w:val="left"/>
        <w:rPr/>
      </w:pPr>
      <w:r>
        <w:rPr>
          <w:rFonts w:ascii="Arial;sans-serif" w:hAnsi="Arial;sans-serif"/>
          <w:b w:val="false"/>
          <w:color w:val="000000"/>
          <w:sz w:val="20"/>
        </w:rPr>
        <w:t xml:space="preserve">The Company recorded a reduction in interest expense </w:t>
      </w:r>
      <w:r>
        <w:rPr>
          <w:rFonts w:ascii="Arial;sans-serif" w:hAnsi="Arial;sans-serif"/>
          <w:b w:val="false"/>
          <w:color w:val="000000"/>
          <w:sz w:val="20"/>
          <w:shd w:fill="FFFFFF" w:val="clear"/>
        </w:rPr>
        <w:t>of</w:t>
      </w:r>
      <w:r>
        <w:rPr>
          <w:color w:val="000000"/>
        </w:rPr>
        <w:t xml:space="preserve"> </w:t>
      </w:r>
      <w:r>
        <w:rPr>
          <w:rFonts w:ascii="Arial;sans-serif" w:hAnsi="Arial;sans-serif"/>
          <w:b w:val="false"/>
          <w:color w:val="000000"/>
          <w:sz w:val="20"/>
        </w:rPr>
        <w:t>$0.2 million and $0.9 million in the second quarter and first six months of 2026, respectively, compared to interest expense of $1.2 million and $67.6 million in the second quarter and first six</w:t>
      </w:r>
      <w:r>
        <w:rPr>
          <w:color w:val="000000"/>
          <w:shd w:fill="FFFFFF" w:val="clear"/>
        </w:rPr>
        <w:t xml:space="preserve"> </w:t>
      </w:r>
      <w:r>
        <w:rPr>
          <w:rFonts w:ascii="Arial;sans-serif" w:hAnsi="Arial;sans-serif"/>
          <w:b w:val="false"/>
          <w:color w:val="000000"/>
          <w:sz w:val="20"/>
          <w:shd w:fill="FFFFFF" w:val="clear"/>
        </w:rPr>
        <w:t xml:space="preserve">months of </w:t>
      </w:r>
      <w:r>
        <w:rPr>
          <w:rFonts w:ascii="Arial;sans-serif" w:hAnsi="Arial;sans-serif"/>
          <w:b w:val="false"/>
          <w:color w:val="000000"/>
          <w:sz w:val="20"/>
        </w:rPr>
        <w:t>2025, to adjust the fair value of the mandatorily redeemable noncontrolling interest at GHG. The significant adjustment recorded in the first quarter of 2025 is largely related to a substantial increase in the estimated fair value of CSI. On February 25, 2025, the Company and a group of minority shareholders entered into an agreement to settle a significant portion of the mandatorily redeemable noncontrolling interest for a total of $205 million, which consisted of approximately $186.25 million in cash and $18.75 million in Graham Holdings Company Class B common stock.</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Excluding these adjustments, the increase in net interest expense relates primarily to higher debt balances.</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At June 30, 2026, the Company had $900.4 million in borrowings outstanding at an average interest rate of 5.7%, and cash, marketable equity securities and other investments of $1,297.4 million. At June 30, 2026, the Company had $231.2 million outstanding on its $400 million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u w:val="single"/>
        </w:rPr>
      </w:pPr>
      <w:r>
        <w:rPr>
          <w:rFonts w:ascii="Arial;sans-serif" w:hAnsi="Arial;sans-serif"/>
          <w:b/>
          <w:color w:val="000000"/>
          <w:sz w:val="20"/>
          <w:u w:val="single"/>
        </w:rPr>
        <w:t>Non-operating Pension and Postretirement Benefit Income, net</w:t>
      </w:r>
    </w:p>
    <w:p>
      <w:pPr>
        <w:pStyle w:val="TextBody"/>
        <w:bidi w:val="0"/>
        <w:spacing w:lineRule="auto" w:line="264" w:before="180" w:after="180"/>
        <w:jc w:val="left"/>
        <w:rPr/>
      </w:pPr>
      <w:r>
        <w:rPr>
          <w:rFonts w:ascii="Arial;sans-serif" w:hAnsi="Arial;sans-serif"/>
          <w:b w:val="false"/>
          <w:color w:val="000000"/>
          <w:sz w:val="20"/>
        </w:rPr>
        <w:t xml:space="preserve">The Company recorded net non-operating pension and postretirement benefit income of </w:t>
      </w:r>
      <w:r>
        <w:rPr>
          <w:rFonts w:ascii="Arial;sans-serif" w:hAnsi="Arial;sans-serif"/>
          <w:b w:val="false"/>
          <w:color w:val="000000"/>
          <w:sz w:val="20"/>
          <w:shd w:fill="FFFFFF" w:val="clear"/>
        </w:rPr>
        <w:t>$169.6 million and $200.7 million</w:t>
      </w:r>
      <w:r>
        <w:rPr>
          <w:color w:val="000000"/>
        </w:rPr>
        <w:t xml:space="preserve"> </w:t>
      </w:r>
      <w:r>
        <w:rPr>
          <w:rFonts w:ascii="Arial;sans-serif" w:hAnsi="Arial;sans-serif"/>
          <w:b w:val="false"/>
          <w:color w:val="000000"/>
          <w:sz w:val="20"/>
        </w:rPr>
        <w:t>for the second quarter and first six months of 2026, compared to $28.6 million and $63.2 million for the second quarter and first six months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180" w:after="180"/>
        <w:jc w:val="left"/>
        <w:rPr>
          <w:rFonts w:ascii="Arial;sans-serif" w:hAnsi="Arial;sans-serif"/>
          <w:b w:val="false"/>
          <w:color w:val="000000"/>
          <w:sz w:val="20"/>
        </w:rPr>
      </w:pPr>
      <w:r>
        <w:rPr>
          <w:rFonts w:ascii="Arial;sans-serif" w:hAnsi="Arial;sans-serif"/>
          <w:b w:val="false"/>
          <w:color w:val="000000"/>
          <w:sz w:val="20"/>
        </w:rPr>
        <w:t>In the second quarter of 2026, the Company recorded a pre-tax, noncash settlement gain of $137.0 million in connection with the purchase of an irrevocable group annuity contract from an insurance company.</w:t>
      </w:r>
    </w:p>
    <w:p>
      <w:pPr>
        <w:pStyle w:val="TextBody"/>
        <w:bidi w:val="0"/>
        <w:spacing w:lineRule="auto" w:line="264" w:before="180" w:after="180"/>
        <w:jc w:val="left"/>
        <w:rPr/>
      </w:pPr>
      <w:r>
        <w:rPr>
          <w:rFonts w:ascii="Arial;sans-serif" w:hAnsi="Arial;sans-serif"/>
          <w:b w:val="false"/>
          <w:color w:val="000000"/>
          <w:sz w:val="20"/>
        </w:rPr>
        <w:t xml:space="preserve">Also in the second quarter of 2026, the Company recorded </w:t>
      </w:r>
      <w:r>
        <w:rPr>
          <w:rFonts w:ascii="Arial;sans-serif" w:hAnsi="Arial;sans-serif"/>
          <w:b w:val="false"/>
          <w:color w:val="000000"/>
          <w:sz w:val="20"/>
          <w:shd w:fill="FFFFFF" w:val="clear"/>
        </w:rPr>
        <w:t xml:space="preserve">$3.8 million </w:t>
      </w:r>
      <w:r>
        <w:rPr>
          <w:rFonts w:ascii="Arial;sans-serif" w:hAnsi="Arial;sans-serif"/>
          <w:b w:val="false"/>
          <w:color w:val="000000"/>
          <w:sz w:val="20"/>
        </w:rPr>
        <w:t xml:space="preserve">in expenses related to non-operating SIPs at </w:t>
      </w:r>
      <w:r>
        <w:rPr>
          <w:rFonts w:ascii="Arial;sans-serif" w:hAnsi="Arial;sans-serif"/>
          <w:b w:val="false"/>
          <w:color w:val="000000"/>
          <w:sz w:val="20"/>
          <w:shd w:fill="FFFFFF" w:val="clear"/>
        </w:rPr>
        <w:t>Kaplan, the television broadcasting division, and other businesses</w:t>
      </w:r>
      <w:r>
        <w:rPr>
          <w:color w:val="000000"/>
        </w:rPr>
        <w:t xml:space="preserve"> </w:t>
      </w:r>
      <w:r>
        <w:rPr>
          <w:rFonts w:ascii="Arial;sans-serif" w:hAnsi="Arial;sans-serif"/>
          <w:b w:val="false"/>
          <w:color w:val="000000"/>
          <w:sz w:val="20"/>
        </w:rPr>
        <w:t xml:space="preserve">and a VRIP at manufacturing. </w:t>
      </w:r>
      <w:r>
        <w:rPr>
          <w:rFonts w:ascii="Arial;sans-serif" w:hAnsi="Arial;sans-serif"/>
          <w:b w:val="false"/>
          <w:color w:val="000000"/>
          <w:sz w:val="20"/>
          <w:shd w:fill="FFFFFF" w:val="clear"/>
        </w:rPr>
        <w:t xml:space="preserve">In the first quarter of 2026, the Company recorded $4.1 million in expenses related to non-operating SIPs at Kaplan, the television broadcasting division, manufacturing, other businesses and the Corporate office. </w:t>
      </w:r>
    </w:p>
    <w:p>
      <w:pPr>
        <w:pStyle w:val="TextBody"/>
        <w:bidi w:val="0"/>
        <w:spacing w:lineRule="auto" w:line="264" w:before="180" w:after="180"/>
        <w:jc w:val="left"/>
        <w:rPr/>
      </w:pPr>
      <w:r>
        <w:rPr>
          <w:rFonts w:ascii="Arial;sans-serif" w:hAnsi="Arial;sans-serif"/>
          <w:b w:val="false"/>
          <w:color w:val="000000"/>
          <w:sz w:val="20"/>
          <w:shd w:fill="FFFFFF" w:val="clear"/>
        </w:rPr>
        <w:t>In the second quarter of 2025, the Company recorded $6.0 million in expenses related to non-operating SIPs at</w:t>
      </w:r>
      <w:r>
        <w:rPr>
          <w:color w:val="000000"/>
        </w:rPr>
        <w:t xml:space="preserve"> </w:t>
      </w:r>
      <w:r>
        <w:rPr>
          <w:rFonts w:ascii="Arial;sans-serif" w:hAnsi="Arial;sans-serif"/>
          <w:b w:val="false"/>
          <w:color w:val="000000"/>
          <w:sz w:val="20"/>
        </w:rPr>
        <w:t>the education and television broadcasting divisions and other businesses</w:t>
      </w:r>
      <w:r>
        <w:rPr>
          <w:rFonts w:ascii="Arial;sans-serif" w:hAnsi="Arial;sans-serif"/>
          <w:b w:val="false"/>
          <w:color w:val="000000"/>
          <w:sz w:val="20"/>
          <w:shd w:fill="FFFFFF" w:val="clear"/>
        </w:rPr>
        <w:t>. In t</w:t>
      </w:r>
      <w:r>
        <w:rPr>
          <w:rFonts w:ascii="Arial;sans-serif" w:hAnsi="Arial;sans-serif"/>
          <w:b w:val="false"/>
          <w:color w:val="000000"/>
          <w:sz w:val="20"/>
        </w:rPr>
        <w:t xml:space="preserve">he first quarter of 2025, the Company recorded </w:t>
      </w:r>
      <w:r>
        <w:rPr>
          <w:rFonts w:ascii="Arial;sans-serif" w:hAnsi="Arial;sans-serif"/>
          <w:b w:val="false"/>
          <w:color w:val="000000"/>
          <w:sz w:val="20"/>
          <w:shd w:fill="FFFFFF" w:val="clear"/>
        </w:rPr>
        <w:t>$0.6 million</w:t>
      </w:r>
      <w:r>
        <w:rPr>
          <w:color w:val="000000"/>
        </w:rPr>
        <w:t xml:space="preserve"> </w:t>
      </w:r>
      <w:r>
        <w:rPr>
          <w:rFonts w:ascii="Arial;sans-serif" w:hAnsi="Arial;sans-serif"/>
          <w:b w:val="false"/>
          <w:color w:val="000000"/>
          <w:sz w:val="20"/>
        </w:rPr>
        <w:t>in expenses related to non-operating SIPs at other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pPr>
      <w:r>
        <w:rPr>
          <w:rFonts w:ascii="Arial;sans-serif" w:hAnsi="Arial;sans-serif"/>
          <w:b/>
          <w:color w:val="000000"/>
          <w:sz w:val="20"/>
          <w:u w:val="single"/>
          <w:shd w:fill="FFFFFF" w:val="clear"/>
        </w:rPr>
        <w:t>Gain (Loss)</w:t>
      </w:r>
      <w:r>
        <w:rPr>
          <w:color w:val="000000"/>
          <w:u w:val="single"/>
        </w:rPr>
        <w:t xml:space="preserve"> </w:t>
      </w:r>
      <w:r>
        <w:rPr>
          <w:rFonts w:ascii="Arial;sans-serif" w:hAnsi="Arial;sans-serif"/>
          <w:b/>
          <w:color w:val="000000"/>
          <w:sz w:val="20"/>
          <w:u w:val="single"/>
        </w:rPr>
        <w:t>on Marketable Equity Securities, net</w:t>
      </w:r>
    </w:p>
    <w:p>
      <w:pPr>
        <w:pStyle w:val="TextBody"/>
        <w:bidi w:val="0"/>
        <w:spacing w:lineRule="auto" w:line="264" w:before="0" w:after="180"/>
        <w:jc w:val="left"/>
        <w:rPr/>
      </w:pPr>
      <w:r>
        <w:rPr>
          <w:rFonts w:ascii="Arial;sans-serif" w:hAnsi="Arial;sans-serif"/>
          <w:b w:val="false"/>
          <w:color w:val="000000"/>
          <w:sz w:val="20"/>
        </w:rPr>
        <w:t xml:space="preserve">Overall, the Company recognized </w:t>
      </w:r>
      <w:r>
        <w:rPr>
          <w:rFonts w:ascii="Arial;sans-serif" w:hAnsi="Arial;sans-serif"/>
          <w:b w:val="false"/>
          <w:color w:val="000000"/>
          <w:sz w:val="20"/>
          <w:shd w:fill="FFFFFF" w:val="clear"/>
        </w:rPr>
        <w:t>$101.9 million and $33.0 million</w:t>
      </w:r>
      <w:r>
        <w:rPr>
          <w:color w:val="000000"/>
        </w:rPr>
        <w:t xml:space="preserve"> </w:t>
      </w:r>
      <w:r>
        <w:rPr>
          <w:rFonts w:ascii="Arial;sans-serif" w:hAnsi="Arial;sans-serif"/>
          <w:b w:val="false"/>
          <w:color w:val="000000"/>
          <w:sz w:val="20"/>
        </w:rPr>
        <w:t xml:space="preserve">in net gains </w:t>
      </w:r>
      <w:r>
        <w:rPr>
          <w:rFonts w:ascii="Arial;sans-serif" w:hAnsi="Arial;sans-serif"/>
          <w:b w:val="false"/>
          <w:color w:val="000000"/>
          <w:sz w:val="20"/>
          <w:shd w:fill="FFFFFF" w:val="clear"/>
        </w:rPr>
        <w:t>on</w:t>
      </w:r>
      <w:r>
        <w:rPr>
          <w:color w:val="000000"/>
        </w:rPr>
        <w:t xml:space="preserve"> </w:t>
      </w:r>
      <w:r>
        <w:rPr>
          <w:rFonts w:ascii="Arial;sans-serif" w:hAnsi="Arial;sans-serif"/>
          <w:b w:val="false"/>
          <w:color w:val="000000"/>
          <w:sz w:val="20"/>
        </w:rPr>
        <w:t>marketable equity securities in the second quarter and first six</w:t>
      </w:r>
      <w:r>
        <w:rPr>
          <w:color w:val="000000"/>
          <w:shd w:fill="FFFFFF" w:val="clear"/>
        </w:rPr>
        <w:t xml:space="preserve"> </w:t>
      </w:r>
      <w:r>
        <w:rPr>
          <w:rFonts w:ascii="Arial;sans-serif" w:hAnsi="Arial;sans-serif"/>
          <w:b w:val="false"/>
          <w:color w:val="000000"/>
          <w:sz w:val="20"/>
          <w:shd w:fill="FFFFFF" w:val="clear"/>
        </w:rPr>
        <w:t xml:space="preserve">months of </w:t>
      </w:r>
      <w:r>
        <w:rPr>
          <w:rFonts w:ascii="Arial;sans-serif" w:hAnsi="Arial;sans-serif"/>
          <w:b w:val="false"/>
          <w:color w:val="000000"/>
          <w:sz w:val="20"/>
        </w:rPr>
        <w:t xml:space="preserve">2026, compared to </w:t>
      </w:r>
      <w:r>
        <w:rPr>
          <w:rFonts w:ascii="Arial;sans-serif" w:hAnsi="Arial;sans-serif"/>
          <w:b w:val="false"/>
          <w:color w:val="000000"/>
          <w:sz w:val="20"/>
          <w:shd w:fill="FFFFFF" w:val="clear"/>
        </w:rPr>
        <w:t>$11.5 million in net losses and $32.3 million</w:t>
      </w:r>
      <w:r>
        <w:rPr>
          <w:color w:val="000000"/>
        </w:rPr>
        <w:t xml:space="preserve"> </w:t>
      </w:r>
      <w:r>
        <w:rPr>
          <w:rFonts w:ascii="Arial;sans-serif" w:hAnsi="Arial;sans-serif"/>
          <w:b w:val="false"/>
          <w:color w:val="000000"/>
          <w:sz w:val="20"/>
        </w:rPr>
        <w:t>in net gains on marketable equity securities in the second quarter and first six months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pPr>
      <w:r>
        <w:rPr>
          <w:rFonts w:ascii="Arial;sans-serif" w:hAnsi="Arial;sans-serif"/>
          <w:b/>
          <w:color w:val="000000"/>
          <w:sz w:val="20"/>
          <w:u w:val="single"/>
        </w:rPr>
        <w:t>Other Non-Operatin</w:t>
      </w:r>
      <w:r>
        <w:rPr>
          <w:rFonts w:ascii="Arial;sans-serif" w:hAnsi="Arial;sans-serif"/>
          <w:b/>
          <w:color w:val="000000"/>
          <w:sz w:val="20"/>
          <w:u w:val="single"/>
          <w:shd w:fill="FFFFFF" w:val="clear"/>
        </w:rPr>
        <w:t>g Expense</w:t>
      </w:r>
    </w:p>
    <w:p>
      <w:pPr>
        <w:pStyle w:val="TextBody"/>
        <w:bidi w:val="0"/>
        <w:spacing w:lineRule="auto" w:line="264" w:before="180" w:after="180"/>
        <w:jc w:val="left"/>
        <w:rPr/>
      </w:pPr>
      <w:r>
        <w:rPr>
          <w:rFonts w:ascii="Arial;sans-serif" w:hAnsi="Arial;sans-serif"/>
          <w:b w:val="false"/>
          <w:color w:val="000000"/>
          <w:sz w:val="20"/>
        </w:rPr>
        <w:t>The Company recorded total other non-opera</w:t>
      </w:r>
      <w:r>
        <w:rPr>
          <w:rFonts w:ascii="Arial;sans-serif" w:hAnsi="Arial;sans-serif"/>
          <w:b w:val="false"/>
          <w:color w:val="000000"/>
          <w:sz w:val="20"/>
          <w:shd w:fill="FFFFFF" w:val="clear"/>
        </w:rPr>
        <w:t xml:space="preserve">ting expense, net, of </w:t>
      </w:r>
      <w:r>
        <w:rPr>
          <w:rFonts w:ascii="Arial;sans-serif" w:hAnsi="Arial;sans-serif"/>
          <w:b w:val="false"/>
          <w:color w:val="000000"/>
          <w:sz w:val="20"/>
        </w:rPr>
        <w:t>$2.5 million</w:t>
      </w:r>
      <w:r>
        <w:rPr>
          <w:color w:val="000000"/>
          <w:shd w:fill="FFFFFF" w:val="clear"/>
        </w:rPr>
        <w:t xml:space="preserve"> </w:t>
      </w:r>
      <w:r>
        <w:rPr>
          <w:rFonts w:ascii="Arial;sans-serif" w:hAnsi="Arial;sans-serif"/>
          <w:b w:val="false"/>
          <w:color w:val="000000"/>
          <w:sz w:val="20"/>
        </w:rPr>
        <w:t>for the second quarter of 2026, compared to $16.5 million for the second quarter of 2025. The 2026 amounts included a $5.2 million loss on the sale of KLG, partially offset by $0.7 million in foreign currency gains and other items. The 2025 amounts included a $12.7 million impairment on a cost method investment and $4.5 million in foreign currency losses; partially offset b</w:t>
      </w:r>
      <w:r>
        <w:rPr>
          <w:rFonts w:ascii="Arial;sans-serif" w:hAnsi="Arial;sans-serif"/>
          <w:b w:val="false"/>
          <w:color w:val="000000"/>
          <w:sz w:val="20"/>
          <w:shd w:fill="FFFFFF" w:val="clear"/>
        </w:rPr>
        <w:t xml:space="preserve">y </w:t>
      </w:r>
      <w:r>
        <w:rPr>
          <w:rFonts w:ascii="Arial;sans-serif" w:hAnsi="Arial;sans-serif"/>
          <w:b w:val="false"/>
          <w:color w:val="000000"/>
          <w:sz w:val="20"/>
        </w:rPr>
        <w:t xml:space="preserve">$0.4 million gain on sale of businesses and </w:t>
      </w:r>
      <w:r>
        <w:rPr>
          <w:rFonts w:ascii="Arial;sans-serif" w:hAnsi="Arial;sans-serif"/>
          <w:b w:val="false"/>
          <w:color w:val="000000"/>
          <w:sz w:val="20"/>
          <w:shd w:fill="FFFFFF" w:val="clear"/>
        </w:rPr>
        <w:t>other items.</w:t>
      </w:r>
    </w:p>
    <w:p>
      <w:pPr>
        <w:pStyle w:val="TextBody"/>
        <w:bidi w:val="0"/>
        <w:spacing w:lineRule="auto" w:line="264" w:before="180" w:after="180"/>
        <w:jc w:val="left"/>
        <w:rPr/>
      </w:pPr>
      <w:r>
        <w:rPr>
          <w:rFonts w:ascii="Arial;sans-serif" w:hAnsi="Arial;sans-serif"/>
          <w:b w:val="false"/>
          <w:color w:val="000000"/>
          <w:sz w:val="20"/>
          <w:shd w:fill="FFFFFF" w:val="clear"/>
        </w:rPr>
        <w:t xml:space="preserve">The Company recorded total other non-operating expense, net, of </w:t>
      </w:r>
      <w:r>
        <w:rPr>
          <w:rFonts w:ascii="Arial;sans-serif" w:hAnsi="Arial;sans-serif"/>
          <w:b w:val="false"/>
          <w:color w:val="000000"/>
          <w:sz w:val="20"/>
        </w:rPr>
        <w:t xml:space="preserve">$3.0 million for the first six months of 2026, compared to $20.5 million for the first six months of 2025. The 2026 amounts included a $5.2 million loss on the sale of KLG and $0.6 million in foreign currency losses, partially offset by a $0.5 million gain on sale of a cost method investment and other items. The 2025 amounts included a $12.7 million impairment on a cost method investment and $8.9 million in foreign currency losses; partially offset by $0.4 million gain on sale of businesses and other items.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pPr>
      <w:r>
        <w:rPr>
          <w:rFonts w:ascii="Arial;sans-serif" w:hAnsi="Arial;sans-serif"/>
          <w:b/>
          <w:color w:val="000000"/>
          <w:sz w:val="20"/>
          <w:u w:val="single"/>
          <w:shd w:fill="FFFFFF" w:val="clear"/>
        </w:rPr>
        <w:t>Provision</w:t>
      </w:r>
      <w:r>
        <w:rPr>
          <w:color w:val="000000"/>
          <w:u w:val="single"/>
        </w:rPr>
        <w:t xml:space="preserve"> </w:t>
      </w:r>
      <w:r>
        <w:rPr>
          <w:rFonts w:ascii="Arial;sans-serif" w:hAnsi="Arial;sans-serif"/>
          <w:b/>
          <w:color w:val="000000"/>
          <w:sz w:val="20"/>
          <w:u w:val="single"/>
        </w:rPr>
        <w:t>for Income Taxes</w:t>
      </w:r>
    </w:p>
    <w:p>
      <w:pPr>
        <w:pStyle w:val="TextBody"/>
        <w:bidi w:val="0"/>
        <w:spacing w:lineRule="auto" w:line="264" w:before="0" w:after="180"/>
        <w:jc w:val="left"/>
        <w:rPr/>
      </w:pPr>
      <w:r>
        <w:rPr>
          <w:rFonts w:ascii="Arial;sans-serif" w:hAnsi="Arial;sans-serif"/>
          <w:b w:val="false"/>
          <w:color w:val="000000"/>
          <w:sz w:val="20"/>
        </w:rPr>
        <w:t xml:space="preserve">The Company’s effective tax rate for the first </w:t>
      </w:r>
      <w:r>
        <w:rPr>
          <w:rFonts w:ascii="Arial;sans-serif" w:hAnsi="Arial;sans-serif"/>
          <w:b w:val="false"/>
          <w:color w:val="000000"/>
          <w:sz w:val="20"/>
          <w:shd w:fill="FFFFFF" w:val="clear"/>
        </w:rPr>
        <w:t>six</w:t>
      </w:r>
      <w:r>
        <w:rPr>
          <w:color w:val="000000"/>
        </w:rPr>
        <w:t xml:space="preserve"> </w:t>
      </w:r>
      <w:r>
        <w:rPr>
          <w:rFonts w:ascii="Arial;sans-serif" w:hAnsi="Arial;sans-serif"/>
          <w:b w:val="false"/>
          <w:color w:val="000000"/>
          <w:sz w:val="20"/>
        </w:rPr>
        <w:t>months of 2026 and 2025 was 12.6%</w:t>
      </w:r>
      <w:r>
        <w:rPr>
          <w:color w:val="000000"/>
          <w:shd w:fill="FFFFFF" w:val="clear"/>
        </w:rPr>
        <w:t xml:space="preserve"> </w:t>
      </w:r>
      <w:r>
        <w:rPr>
          <w:rFonts w:ascii="Arial;sans-serif" w:hAnsi="Arial;sans-serif"/>
          <w:b w:val="false"/>
          <w:color w:val="000000"/>
          <w:sz w:val="20"/>
          <w:shd w:fill="FFFFFF" w:val="clear"/>
        </w:rPr>
        <w:t>and 29.8%, respectively.</w:t>
      </w:r>
    </w:p>
    <w:p>
      <w:pPr>
        <w:pStyle w:val="TextBody"/>
        <w:bidi w:val="0"/>
        <w:spacing w:lineRule="auto" w:line="264" w:before="180" w:after="180"/>
        <w:jc w:val="left"/>
        <w:rPr>
          <w:rFonts w:ascii="Arial;sans-serif" w:hAnsi="Arial;sans-serif"/>
          <w:b w:val="false"/>
          <w:color w:val="000000"/>
          <w:sz w:val="20"/>
        </w:rPr>
      </w:pPr>
      <w:r>
        <w:rPr>
          <w:rFonts w:ascii="Arial;sans-serif" w:hAnsi="Arial;sans-serif"/>
          <w:b w:val="false"/>
          <w:color w:val="000000"/>
          <w:sz w:val="20"/>
        </w:rPr>
        <w:t xml:space="preserve">The Company recognized a U.S. income tax benefit of $69.6 million during the six months ended June 30, 2026, in connection with the restructuring and sale of the KLG business. As a result of this significant U.S. income tax benefit, the Company accrued a non-U.S. global minimum corporate top-up income tax expense of $19.2 million in the second quarter of 2026. This accrual relates to non-U.S. jurisdictions that have not yet enacted legislation adopting recent guidance from the Organization for Economic Co-operation and Development (OECD), which would exempt U.S. parent multinational groups from Pillar Two top-up tax on their U.S. source income. The enactment of legislation in the U.K. and other jurisdictions would have a favorable impact on the Company’s income tax provision and could result in a complete reversal of the $19.2 million accrued amount without payment. </w:t>
      </w:r>
    </w:p>
    <w:p>
      <w:pPr>
        <w:pStyle w:val="TextBody"/>
        <w:bidi w:val="0"/>
        <w:spacing w:lineRule="auto" w:line="264"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Company’s effective tax rate for the first six months of 2025 was based on the estimated full year 2025 effective tax rate, which includes the adverse impact of the permanent difference related to the interest expense recorded to adjust the fair value of the mandatorily redeemable noncontrolling interest at GHG.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u w:val="single"/>
        </w:rPr>
      </w:pPr>
      <w:r>
        <w:rPr>
          <w:rFonts w:ascii="Arial;sans-serif" w:hAnsi="Arial;sans-serif"/>
          <w:b/>
          <w:color w:val="000000"/>
          <w:sz w:val="20"/>
          <w:u w:val="single"/>
        </w:rPr>
        <w:t>Earnings Per Share</w:t>
      </w:r>
    </w:p>
    <w:p>
      <w:pPr>
        <w:pStyle w:val="TextBody"/>
        <w:bidi w:val="0"/>
        <w:spacing w:lineRule="auto" w:line="264" w:before="180" w:after="180"/>
        <w:jc w:val="left"/>
        <w:rPr/>
      </w:pPr>
      <w:r>
        <w:rPr>
          <w:rFonts w:ascii="Arial;sans-serif" w:hAnsi="Arial;sans-serif"/>
          <w:b w:val="false"/>
          <w:color w:val="000000"/>
          <w:sz w:val="20"/>
          <w:shd w:fill="FFFFFF" w:val="clear"/>
        </w:rPr>
        <w:t>The calculation of diluted earnings per share for the second quarter</w:t>
      </w:r>
      <w:r>
        <w:rPr>
          <w:color w:val="000000"/>
        </w:rPr>
        <w:t xml:space="preserve"> </w:t>
      </w:r>
      <w:r>
        <w:rPr>
          <w:rFonts w:ascii="Arial;sans-serif" w:hAnsi="Arial;sans-serif"/>
          <w:b w:val="false"/>
          <w:color w:val="000000"/>
          <w:sz w:val="20"/>
        </w:rPr>
        <w:t xml:space="preserve">and first </w:t>
      </w:r>
      <w:r>
        <w:rPr>
          <w:rFonts w:ascii="Arial;sans-serif" w:hAnsi="Arial;sans-serif"/>
          <w:b w:val="false"/>
          <w:color w:val="000000"/>
          <w:sz w:val="20"/>
          <w:shd w:fill="FFFFFF" w:val="clear"/>
        </w:rPr>
        <w:t>six</w:t>
      </w:r>
      <w:r>
        <w:rPr>
          <w:color w:val="000000"/>
        </w:rPr>
        <w:t xml:space="preserve"> </w:t>
      </w:r>
      <w:r>
        <w:rPr>
          <w:rFonts w:ascii="Arial;sans-serif" w:hAnsi="Arial;sans-serif"/>
          <w:b w:val="false"/>
          <w:color w:val="000000"/>
          <w:sz w:val="20"/>
        </w:rPr>
        <w:t xml:space="preserve">months of </w:t>
      </w:r>
      <w:r>
        <w:rPr>
          <w:rFonts w:ascii="Arial;sans-serif" w:hAnsi="Arial;sans-serif"/>
          <w:b w:val="false"/>
          <w:color w:val="000000"/>
          <w:sz w:val="20"/>
          <w:shd w:fill="FFFFFF" w:val="clear"/>
        </w:rPr>
        <w:t xml:space="preserve">2026 was based on </w:t>
      </w:r>
      <w:r>
        <w:rPr>
          <w:rFonts w:ascii="Arial;sans-serif" w:hAnsi="Arial;sans-serif"/>
          <w:b w:val="false"/>
          <w:color w:val="000000"/>
          <w:sz w:val="20"/>
        </w:rPr>
        <w:t>4,309,444 and 4,342,014 w</w:t>
      </w:r>
      <w:r>
        <w:rPr>
          <w:rFonts w:ascii="Arial;sans-serif" w:hAnsi="Arial;sans-serif"/>
          <w:b w:val="false"/>
          <w:color w:val="000000"/>
          <w:sz w:val="20"/>
          <w:shd w:fill="FFFFFF" w:val="clear"/>
        </w:rPr>
        <w:t>eighted average shares outstanding, respectively, compared to 4,372,639</w:t>
      </w:r>
      <w:r>
        <w:rPr>
          <w:color w:val="000000"/>
        </w:rPr>
        <w:t xml:space="preserve"> </w:t>
      </w:r>
      <w:r>
        <w:rPr>
          <w:rFonts w:ascii="Arial;sans-serif" w:hAnsi="Arial;sans-serif"/>
          <w:b w:val="false"/>
          <w:color w:val="000000"/>
          <w:sz w:val="20"/>
        </w:rPr>
        <w:t xml:space="preserve">and 4,365,534 </w:t>
      </w:r>
      <w:r>
        <w:rPr>
          <w:rFonts w:ascii="Arial;sans-serif" w:hAnsi="Arial;sans-serif"/>
          <w:b w:val="false"/>
          <w:color w:val="000000"/>
          <w:sz w:val="20"/>
          <w:shd w:fill="FFFFFF" w:val="clear"/>
        </w:rPr>
        <w:t xml:space="preserve">for the second quarter and first six months </w:t>
      </w:r>
      <w:r>
        <w:rPr>
          <w:rFonts w:ascii="Arial;sans-serif" w:hAnsi="Arial;sans-serif"/>
          <w:b w:val="false"/>
          <w:color w:val="000000"/>
          <w:sz w:val="20"/>
        </w:rPr>
        <w:t xml:space="preserve">of </w:t>
      </w:r>
      <w:r>
        <w:rPr>
          <w:rFonts w:ascii="Arial;sans-serif" w:hAnsi="Arial;sans-serif"/>
          <w:b w:val="false"/>
          <w:color w:val="000000"/>
          <w:sz w:val="20"/>
          <w:shd w:fill="FFFFFF" w:val="clear"/>
        </w:rPr>
        <w:t>2025. At June 30, 2026, there were 4,251,268 sh</w:t>
      </w:r>
      <w:r>
        <w:rPr>
          <w:rFonts w:ascii="Arial;sans-serif" w:hAnsi="Arial;sans-serif"/>
          <w:b w:val="false"/>
          <w:color w:val="000000"/>
          <w:sz w:val="20"/>
        </w:rPr>
        <w:t xml:space="preserve">ares outstanding. On September 12, 2024, the Board of Directors authorized the Company to acquire up to 500,000 shares of its Class B common stock; the Company has remaining authorization for </w:t>
      </w:r>
      <w:r>
        <w:rPr>
          <w:rFonts w:ascii="Arial;sans-serif" w:hAnsi="Arial;sans-serif"/>
          <w:b w:val="false"/>
          <w:color w:val="000000"/>
          <w:sz w:val="20"/>
          <w:shd w:fill="FFFFFF" w:val="clear"/>
        </w:rPr>
        <w:t>352,011</w:t>
      </w:r>
      <w:r>
        <w:rPr>
          <w:color w:val="000000"/>
        </w:rPr>
        <w:t xml:space="preserve"> </w:t>
      </w:r>
      <w:r>
        <w:rPr>
          <w:rFonts w:ascii="Arial;sans-serif" w:hAnsi="Arial;sans-serif"/>
          <w:b w:val="false"/>
          <w:color w:val="000000"/>
          <w:sz w:val="20"/>
        </w:rPr>
        <w:t>shares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180" w:after="120"/>
        <w:jc w:val="left"/>
        <w:rPr>
          <w:rFonts w:ascii="Arial;sans-serif" w:hAnsi="Arial;sans-serif"/>
          <w:b/>
          <w:i/>
          <w:color w:val="000000"/>
          <w:sz w:val="20"/>
        </w:rPr>
      </w:pPr>
      <w:r>
        <w:rPr>
          <w:rFonts w:ascii="Arial;sans-serif" w:hAnsi="Arial;sans-serif"/>
          <w:b/>
          <w:i/>
          <w:color w:val="000000"/>
          <w:sz w:val="20"/>
        </w:rPr>
        <w:t>Financial Condition: Liquidity and Capital Resources</w:t>
      </w:r>
    </w:p>
    <w:p>
      <w:pPr>
        <w:pStyle w:val="TextBody"/>
        <w:bidi w:val="0"/>
        <w:spacing w:lineRule="auto" w:line="264" w:before="180" w:after="120"/>
        <w:jc w:val="left"/>
        <w:rPr>
          <w:rFonts w:ascii="Arial;sans-serif" w:hAnsi="Arial;sans-serif"/>
          <w:b w:val="false"/>
          <w:color w:val="000000"/>
          <w:sz w:val="20"/>
        </w:rPr>
      </w:pPr>
      <w:r>
        <w:rPr>
          <w:rFonts w:ascii="Arial;sans-serif" w:hAnsi="Arial;sans-serif"/>
          <w:b w:val="false"/>
          <w:color w:val="000000"/>
          <w:sz w:val="20"/>
        </w:rPr>
        <w:t>The Company considers the following when assessing its liquidity and capital resources:</w:t>
      </w:r>
    </w:p>
    <w:tbl>
      <w:tblPr>
        <w:tblW w:w="8544" w:type="dxa"/>
        <w:jc w:val="left"/>
        <w:tblInd w:w="0" w:type="dxa"/>
        <w:tblLayout w:type="fixed"/>
        <w:tblCellMar>
          <w:top w:w="28" w:type="dxa"/>
          <w:left w:w="28" w:type="dxa"/>
          <w:bottom w:w="28" w:type="dxa"/>
          <w:right w:w="28" w:type="dxa"/>
        </w:tblCellMar>
      </w:tblPr>
      <w:tblGrid>
        <w:gridCol w:w="1974"/>
        <w:gridCol w:w="1740"/>
        <w:gridCol w:w="1745"/>
        <w:gridCol w:w="212"/>
        <w:gridCol w:w="848"/>
        <w:gridCol w:w="109"/>
        <w:gridCol w:w="109"/>
        <w:gridCol w:w="109"/>
        <w:gridCol w:w="109"/>
        <w:gridCol w:w="281"/>
        <w:gridCol w:w="1103"/>
        <w:gridCol w:w="205"/>
      </w:tblGrid>
      <w:tr>
        <w:trPr/>
        <w:tc>
          <w:tcPr>
            <w:tcW w:w="1974"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 </w:t>
            </w:r>
          </w:p>
        </w:tc>
        <w:tc>
          <w:tcPr>
            <w:tcW w:w="3085"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As of</w:t>
            </w:r>
          </w:p>
        </w:tc>
      </w:tr>
      <w:tr>
        <w:trPr/>
        <w:tc>
          <w:tcPr>
            <w:tcW w:w="545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6"/>
              </w:rPr>
            </w:pPr>
            <w:r>
              <w:rPr>
                <w:rFonts w:ascii="Arial;sans-serif" w:hAnsi="Arial;sans-serif"/>
                <w:b/>
                <w:color w:val="000000"/>
                <w:sz w:val="16"/>
              </w:rPr>
              <w:t>(In thousands)</w:t>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54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2"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8"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156,766</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3"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266,988 </w:t>
            </w:r>
          </w:p>
        </w:tc>
        <w:tc>
          <w:tcPr>
            <w:tcW w:w="20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06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51,342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44,417 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Investments in marketable equity securities and other investments</w:t>
            </w:r>
          </w:p>
        </w:tc>
        <w:tc>
          <w:tcPr>
            <w:tcW w:w="106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1,089,301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1,088,970 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Total debt</w:t>
            </w:r>
          </w:p>
        </w:tc>
        <w:tc>
          <w:tcPr>
            <w:tcW w:w="106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900,373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880,756 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Cash generated by operations is the Company’s primary source of liquidity. The Company maintains investments in a portfolio of marketable equity securities, which is considered when assessing the Company’s sources of liquidity. An additional source of liquidity includes the undrawn portion of the Company’s $400 million revolving credit facility, amounting to $168.8 million at June 30, 2026.</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During the first six months of 2026, the Company’s cash and cash equivalents decreased by $110.2 million, due to share repurchases; capital expenditures; business acquisitions and dispositions; dividend payments; and the redemption of noncontrolling interests. The decrease was partially offset by cash generated from operations, proceeds from the net sale of marketable equity securities and the repayment of a related party loan. In the first six months of 2026, the Company’s borrowings increased by $19.6 million, primarily due to increases in other debt and additional borrowings under the revolving credit facility, partially offset by repayments under the commercial notes at the automotive subsidiary.</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As of June 30, 2026 and December 31, 2025, the Company had money market investments of $7.3 million and $5.3 million, that are included in cash and cash equivalents. At June 30, 2026, the Company held approximately $76 million in cash and cash equivalents in businesses domiciled outside the U.S., of which approximately $6 million is not available for immediate use in operations or for distribution. Additionally, Kaplan’s business operations outside the U.S. retain cash balances to support ongoing working capital requirements, capital expenditures, and regulatory requirements. As a result, the Company considers a significant portion of the cash and cash equivalents balance held outside the U.S. as not readily available for use in U.S. operations.</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At June 30, 2026, the fair value of the Company’s investments in marketable equity securities was $1,083.1 million, which includes investments in the common stock of five publicly traded companies. During the first six months of 2026, the Company purchased $18.7 million of marketable equity securities and sold marketable equity securities that generated proceeds of $50.0 million. At June 30, 2026, the net unrealized gain related to the Company’s investments totaled $812.1 million.</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Company had working capital of $1,049.8 million and $1,042.5 million at June 30, 2026 and December 31, 2025, respectively. The Company maintains working capital levels consistent with its underlying business requirements and consistently generates cash from operations in excess of required interest or principal payments.</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At June 30, 2026 and December 31, 2025, the Company had borrowings outstanding of $900.4 million and $880.8 million, respectively. The Company’s borrowings at June 30, 2026 were mostly from $500.0 million of 5.625% unsecured notes due December 1, 2033, $231.2 million in outstanding borrowings under the Company’s revolving credit facility, and real estate and capital term loans of $149.6 million at the automotive subsidiary. The Company’s borrowings at December 31, 2025 were mostly from $500.0 million of 5.625% unsecured notes due December 1, 2033, $222.5 million in outstanding borrowings under the Company’s revolving credit facility, and real estate and capital term loans of $155.9 million at the automotive subsidiary.</w:t>
      </w:r>
    </w:p>
    <w:p>
      <w:pPr>
        <w:pStyle w:val="TextBody"/>
        <w:bidi w:val="0"/>
        <w:spacing w:lineRule="auto" w:line="264" w:before="0" w:after="180"/>
        <w:jc w:val="left"/>
        <w:rPr/>
      </w:pPr>
      <w:r>
        <w:rPr>
          <w:rFonts w:ascii="Arial;sans-serif" w:hAnsi="Arial;sans-serif"/>
          <w:b w:val="false"/>
          <w:color w:val="000000"/>
          <w:sz w:val="20"/>
        </w:rPr>
        <w:t>On November 24, 2025, the Company issued $500 million of 5.625% unsecured eight-year fixed-rate notes due December 1, 2033. Interest is paid semi-annually on June 1 and December 1. Also on November 24, 2025, the Company used the net proceeds from the sale of the notes, together with the borrow</w:t>
      </w:r>
      <w:r>
        <w:rPr>
          <w:rFonts w:ascii="Arial;sans-serif" w:hAnsi="Arial;sans-serif"/>
          <w:b w:val="false"/>
          <w:color w:val="000000"/>
          <w:sz w:val="20"/>
          <w:shd w:fill="FFFFFF" w:val="clear"/>
        </w:rPr>
        <w:t xml:space="preserve">ings under the revolving credit agreement, to (i) redeem the </w:t>
      </w:r>
      <w:r>
        <w:rPr>
          <w:rFonts w:ascii="Arial;sans-serif" w:hAnsi="Arial;sans-serif"/>
          <w:b w:val="false"/>
          <w:color w:val="000000"/>
          <w:sz w:val="20"/>
        </w:rPr>
        <w:t>$400 million</w:t>
      </w:r>
      <w:r>
        <w:rPr>
          <w:color w:val="000000"/>
          <w:shd w:fill="FFFFFF" w:val="clear"/>
        </w:rPr>
        <w:t xml:space="preserve"> </w:t>
      </w:r>
      <w:r>
        <w:rPr>
          <w:rFonts w:ascii="Arial;sans-serif" w:hAnsi="Arial;sans-serif"/>
          <w:b w:val="false"/>
          <w:color w:val="000000"/>
          <w:sz w:val="20"/>
          <w:shd w:fill="FFFFFF" w:val="clear"/>
        </w:rPr>
        <w:t xml:space="preserve">of </w:t>
      </w:r>
      <w:r>
        <w:rPr>
          <w:rFonts w:ascii="Arial;sans-serif" w:hAnsi="Arial;sans-serif"/>
          <w:b w:val="false"/>
          <w:color w:val="000000"/>
          <w:sz w:val="20"/>
        </w:rPr>
        <w:t>5.75%</w:t>
      </w:r>
      <w:r>
        <w:rPr>
          <w:color w:val="000000"/>
          <w:shd w:fill="FFFFFF" w:val="clear"/>
        </w:rPr>
        <w:t xml:space="preserve"> </w:t>
      </w:r>
      <w:r>
        <w:rPr>
          <w:rFonts w:ascii="Arial;sans-serif" w:hAnsi="Arial;sans-serif"/>
          <w:b w:val="false"/>
          <w:color w:val="000000"/>
          <w:sz w:val="20"/>
          <w:shd w:fill="FFFFFF" w:val="clear"/>
        </w:rPr>
        <w:t xml:space="preserve">unsecured notes due June 1, 2026, (ii) refinance outstanding revolving loans under the existing revolving credit facility, and (iii) repay all amounts outstanding under the Company’s existing </w:t>
      </w:r>
      <w:r>
        <w:rPr>
          <w:rFonts w:ascii="Arial;sans-serif" w:hAnsi="Arial;sans-serif"/>
          <w:b w:val="false"/>
          <w:color w:val="000000"/>
          <w:sz w:val="20"/>
        </w:rPr>
        <w:t>$150 million</w:t>
      </w:r>
      <w:r>
        <w:rPr>
          <w:color w:val="000000"/>
          <w:shd w:fill="FFFFFF" w:val="clear"/>
        </w:rPr>
        <w:t xml:space="preserve"> </w:t>
      </w:r>
      <w:r>
        <w:rPr>
          <w:rFonts w:ascii="Arial;sans-serif" w:hAnsi="Arial;sans-serif"/>
          <w:b w:val="false"/>
          <w:color w:val="000000"/>
          <w:sz w:val="20"/>
          <w:shd w:fill="FFFFFF" w:val="clear"/>
        </w:rPr>
        <w:t>term loan.</w:t>
      </w:r>
    </w:p>
    <w:p>
      <w:pPr>
        <w:pStyle w:val="TextBody"/>
        <w:bidi w:val="0"/>
        <w:spacing w:lineRule="auto" w:line="264" w:before="0" w:after="180"/>
        <w:jc w:val="left"/>
        <w:rPr/>
      </w:pPr>
      <w:r>
        <w:rPr>
          <w:rFonts w:ascii="Arial;sans-serif" w:hAnsi="Arial;sans-serif"/>
          <w:b w:val="false"/>
          <w:color w:val="000000"/>
          <w:sz w:val="20"/>
          <w:shd w:fill="FFFFFF" w:val="clear"/>
        </w:rPr>
        <w:t xml:space="preserve">In combination with the issuance of the Notes, the Company amended and restated the Second Amended and Restated Five Year Credit Agreement, dated as of May 3, 2022, to, among other things, (i) increase the Company’s borrowing capacity by replacing the existing revolving commitments with a new revolving credit facility in the aggregate principal amount of </w:t>
      </w:r>
      <w:r>
        <w:rPr>
          <w:rFonts w:ascii="Arial;sans-serif" w:hAnsi="Arial;sans-serif"/>
          <w:b w:val="false"/>
          <w:color w:val="000000"/>
          <w:sz w:val="20"/>
        </w:rPr>
        <w:t>$400 million</w:t>
      </w:r>
      <w:r>
        <w:rPr>
          <w:rFonts w:ascii="Arial;sans-serif" w:hAnsi="Arial;sans-serif"/>
          <w:b w:val="false"/>
          <w:color w:val="000000"/>
          <w:sz w:val="20"/>
          <w:shd w:fill="FFFFFF" w:val="clear"/>
        </w:rPr>
        <w:t>, (ii) extend the maturity of the facility to November 24, 2030, and (iii) increase the letter of credit sublimit to</w:t>
      </w:r>
      <w:r>
        <w:rPr>
          <w:color w:val="000000"/>
        </w:rPr>
        <w:t xml:space="preserve"> </w:t>
      </w:r>
      <w:r>
        <w:rPr>
          <w:rFonts w:ascii="Arial;sans-serif" w:hAnsi="Arial;sans-serif"/>
          <w:b w:val="false"/>
          <w:color w:val="000000"/>
          <w:sz w:val="20"/>
        </w:rPr>
        <w:t>$40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On October 21, 2025, the automotive subsidiary borrowed $38.7 million under the delayed draw term loan to finance the acquisition of a Honda automotive dealership, including the real property for the dealership operations.</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 xml:space="preserve">During the six months ended June 30, 2026 and 2025, the Company had average borrowings outstanding of approximately $895.5 million and $828.7 million, respectively, at average annual interest rates of approximately 5.7% and 6.0%, respectively. During the six months ended June 30, 2026 and 2025, the Company incurred net interest expense of $29.0 million and $95.6 million, respectively. Included in the net interest expense for the six months ended June 30, 2026 and 2025 is a $0.9 million reduction in interest expense and $67.6 million of interest expense, respectively, to adjust the fair value of the mandatorily redeemable noncontrolling interest (see Notes 7 and 8). </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On February 25, 2025, the Company and a group of minority shareholders entered into an agreement to settle a significant portion of the mandatorily redeemable noncontrolling interest related to GHC One, including CSI, for a total of $205 million, which consisted of approximately $186.25 million in cash and $18.75 million in Graham Holdings Company Class B common stock.</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 xml:space="preserve">The settlement agreement resulted in a $66.2 million increase to the mandatorily redeemable noncontrolling interest obligation, which the Company recorded as interest expense in the first quarter of 2025. The remaining mandatorily redeemable noncontrolling interest obligation related to GHC One and GHC Two was $7.4 million at June 30, 2026. </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 xml:space="preserve">On June 15, 2026, Standard &amp; Poor’s affirmed the Company’s credit rating and maintained the outlook as Stable. On November 12, 2025, Moody’s affirmed the Company’s credit rating and maintained the outlook as Stable. </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Company’s current credit ratings are as follows:</w:t>
      </w:r>
    </w:p>
    <w:tbl>
      <w:tblPr>
        <w:tblW w:w="3658" w:type="dxa"/>
        <w:jc w:val="left"/>
        <w:tblInd w:w="0" w:type="dxa"/>
        <w:tblLayout w:type="fixed"/>
        <w:tblCellMar>
          <w:top w:w="28" w:type="dxa"/>
          <w:left w:w="28" w:type="dxa"/>
          <w:bottom w:w="28" w:type="dxa"/>
          <w:right w:w="28" w:type="dxa"/>
        </w:tblCellMar>
      </w:tblPr>
      <w:tblGrid>
        <w:gridCol w:w="348"/>
        <w:gridCol w:w="306"/>
        <w:gridCol w:w="307"/>
        <w:gridCol w:w="260"/>
        <w:gridCol w:w="260"/>
        <w:gridCol w:w="261"/>
        <w:gridCol w:w="109"/>
        <w:gridCol w:w="109"/>
        <w:gridCol w:w="109"/>
        <w:gridCol w:w="465"/>
        <w:gridCol w:w="465"/>
        <w:gridCol w:w="659"/>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Moody’s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Standard &amp; Poor’s</w:t>
            </w:r>
          </w:p>
        </w:tc>
      </w:tr>
      <w:tr>
        <w:trPr/>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Long-term</w:t>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Ba1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BB</w:t>
            </w:r>
          </w:p>
        </w:tc>
      </w:tr>
      <w:tr>
        <w:trPr/>
        <w:tc>
          <w:tcPr>
            <w:tcW w:w="9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Outlook</w:t>
            </w:r>
          </w:p>
        </w:tc>
        <w:tc>
          <w:tcPr>
            <w:tcW w:w="78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Stable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Stable</w:t>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Company expects to fund its estimated capital needs primarily through existing cash balances and internally generated funds, and, as needed, from borrowings under its revolving credit facility. As of June 30, 2026, the Company had $231.2 million outstanding under the $400 million revolving credit facility. In management’s opinion, the Company will have sufficient financial resources to meet its business requirements in the next 12 months, including working capital requirements, capital expenditures, interest payments, potential acquisitions and strategic investments, dividends and stock repurchases.</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In summary, the Company’s cash flows for each period were as follows:</w:t>
      </w:r>
    </w:p>
    <w:tbl>
      <w:tblPr>
        <w:tblW w:w="8244" w:type="dxa"/>
        <w:jc w:val="left"/>
        <w:tblInd w:w="0" w:type="dxa"/>
        <w:tblLayout w:type="fixed"/>
        <w:tblCellMar>
          <w:top w:w="28" w:type="dxa"/>
          <w:left w:w="28" w:type="dxa"/>
          <w:bottom w:w="28" w:type="dxa"/>
          <w:right w:w="28" w:type="dxa"/>
        </w:tblCellMar>
      </w:tblPr>
      <w:tblGrid>
        <w:gridCol w:w="1990"/>
        <w:gridCol w:w="1755"/>
        <w:gridCol w:w="1760"/>
        <w:gridCol w:w="211"/>
        <w:gridCol w:w="901"/>
        <w:gridCol w:w="109"/>
        <w:gridCol w:w="109"/>
        <w:gridCol w:w="109"/>
        <w:gridCol w:w="109"/>
        <w:gridCol w:w="211"/>
        <w:gridCol w:w="826"/>
        <w:gridCol w:w="154"/>
      </w:tblGrid>
      <w:tr>
        <w:trPr/>
        <w:tc>
          <w:tcPr>
            <w:tcW w:w="1990"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 </w:t>
            </w:r>
          </w:p>
        </w:tc>
        <w:tc>
          <w:tcPr>
            <w:tcW w:w="2739"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Six Months Ended </w:t>
              <w:br/>
              <w:t> June 30</w:t>
            </w:r>
          </w:p>
        </w:tc>
      </w:tr>
      <w:tr>
        <w:trPr/>
        <w:tc>
          <w:tcPr>
            <w:tcW w:w="55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6"/>
              </w:rPr>
            </w:pPr>
            <w:r>
              <w:rPr>
                <w:rFonts w:ascii="Arial;sans-serif" w:hAnsi="Arial;sans-serif"/>
                <w:b/>
                <w:color w:val="000000"/>
                <w:sz w:val="16"/>
              </w:rPr>
              <w:t>(In thousands)</w:t>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5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0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120,410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140,810 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1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(48,840)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(31,317)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1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(172,462)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(188,512)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Effect of currency exchange rate change</w:t>
            </w:r>
          </w:p>
        </w:tc>
        <w:tc>
          <w:tcPr>
            <w:tcW w:w="11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(2,405)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10,514 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Net decrease in cash and cash equivalents and restricted cash</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0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(103,297)</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(68,505)</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left"/>
        <w:rPr/>
      </w:pPr>
      <w:r>
        <w:rPr>
          <w:rFonts w:ascii="Arial;sans-serif" w:hAnsi="Arial;sans-serif"/>
          <w:b/>
          <w:color w:val="000000"/>
          <w:sz w:val="20"/>
        </w:rPr>
        <w:t xml:space="preserve">Operating Activities. </w:t>
      </w:r>
      <w:r>
        <w:rPr>
          <w:rFonts w:ascii="Arial;sans-serif" w:hAnsi="Arial;sans-serif"/>
          <w:b w:val="false"/>
          <w:color w:val="000000"/>
          <w:sz w:val="20"/>
        </w:rPr>
        <w:t>Cash provided by operating activities is net income adjusted for certain non-cash items and changes in assets and liabilities. The Company’s net cash flow provided by operating activities were as follows:</w:t>
      </w:r>
    </w:p>
    <w:tbl>
      <w:tblPr>
        <w:tblW w:w="10205" w:type="dxa"/>
        <w:jc w:val="left"/>
        <w:tblInd w:w="0" w:type="dxa"/>
        <w:tblLayout w:type="fixed"/>
        <w:tblCellMar>
          <w:top w:w="28" w:type="dxa"/>
          <w:left w:w="28" w:type="dxa"/>
          <w:bottom w:w="28" w:type="dxa"/>
          <w:right w:w="28" w:type="dxa"/>
        </w:tblCellMar>
      </w:tblPr>
      <w:tblGrid>
        <w:gridCol w:w="2728"/>
        <w:gridCol w:w="2396"/>
        <w:gridCol w:w="2400"/>
        <w:gridCol w:w="211"/>
        <w:gridCol w:w="841"/>
        <w:gridCol w:w="109"/>
        <w:gridCol w:w="109"/>
        <w:gridCol w:w="109"/>
        <w:gridCol w:w="109"/>
        <w:gridCol w:w="211"/>
        <w:gridCol w:w="826"/>
        <w:gridCol w:w="156"/>
      </w:tblGrid>
      <w:tr>
        <w:trPr/>
        <w:tc>
          <w:tcPr>
            <w:tcW w:w="2728"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 </w:t>
            </w:r>
          </w:p>
        </w:tc>
        <w:tc>
          <w:tcPr>
            <w:tcW w:w="2681"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Six Months Ended </w:t>
              <w:br/>
              <w:t> June 30</w:t>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6"/>
              </w:rPr>
            </w:pPr>
            <w:r>
              <w:rPr>
                <w:rFonts w:ascii="Arial;sans-serif" w:hAnsi="Arial;sans-serif"/>
                <w:b/>
                <w:color w:val="000000"/>
                <w:sz w:val="16"/>
              </w:rPr>
              <w:t>(In thousands)</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75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313,127</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66,144 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161"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Depreciation, amortization and goodwill and other asset impairments</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67,737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55,271 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Amortization of lease right-of-use asset</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29,343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28,729 </w:t>
            </w:r>
          </w:p>
        </w:tc>
        <w:tc>
          <w:tcPr>
            <w:tcW w:w="156" w:type="dxa"/>
            <w:tcBorders/>
            <w:tcMar>
              <w:top w:w="0" w:type="dxa"/>
              <w:left w:w="0" w:type="dxa"/>
              <w:bottom w:w="0" w:type="dxa"/>
              <w:right w:w="0" w:type="dxa"/>
            </w:tcMar>
            <w:vAlign w:val="center"/>
          </w:tcPr>
          <w:p>
            <w:pPr>
              <w:pStyle w:val="TableContents"/>
              <w:bidi w:val="0"/>
              <w:spacing w:before="0" w:after="283"/>
              <w:ind w:left="0" w:right="0" w:hanging="140"/>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Net pension benefit, settlement gain and early retirement and special separation benefit expense</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(179,035)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(40,985)</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Other non-cash activities</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17,228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9,287 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Change in operating assets and liabilities</w:t>
            </w:r>
          </w:p>
        </w:tc>
        <w:tc>
          <w:tcPr>
            <w:tcW w:w="10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(127,990)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22,364 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Net Cash Provided by Operating Activities</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120,410</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140,810 </w:t>
            </w:r>
          </w:p>
        </w:tc>
        <w:tc>
          <w:tcPr>
            <w:tcW w:w="1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Net cash provided by operating activities consists primarily of cash receipts from customers, less disbursements for costs, benefits, income taxes, interest and other expenses.</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For the first six months of 2026 compared to the first six months of 2025, the decrease in net cash provided by operating activities is primarily driven by changes in operating assets and liabilities, offset by higher net income, net of non-cash adjustments. Changes in operating assets and liabilities were driven by higher purchases of inventory and a significant decrease in the interest expense related to the mandatorily redeemable noncontrolling interest, offset by an increase in customer collections.</w:t>
      </w:r>
    </w:p>
    <w:p>
      <w:pPr>
        <w:pStyle w:val="TextBody"/>
        <w:bidi w:val="0"/>
        <w:spacing w:lineRule="auto" w:line="264" w:before="0" w:after="180"/>
        <w:jc w:val="left"/>
        <w:rPr/>
      </w:pPr>
      <w:r>
        <w:rPr>
          <w:rFonts w:ascii="Arial;sans-serif" w:hAnsi="Arial;sans-serif"/>
          <w:b/>
          <w:color w:val="000000"/>
          <w:sz w:val="20"/>
        </w:rPr>
        <w:t xml:space="preserve">Investing Activities. </w:t>
      </w:r>
      <w:r>
        <w:rPr>
          <w:rFonts w:ascii="Arial;sans-serif" w:hAnsi="Arial;sans-serif"/>
          <w:b w:val="false"/>
          <w:color w:val="000000"/>
          <w:sz w:val="20"/>
        </w:rPr>
        <w:t>The Company’s net cash flow used in investing activities were as follows:</w:t>
      </w:r>
    </w:p>
    <w:tbl>
      <w:tblPr>
        <w:tblW w:w="10205" w:type="dxa"/>
        <w:jc w:val="left"/>
        <w:tblInd w:w="0" w:type="dxa"/>
        <w:tblLayout w:type="fixed"/>
        <w:tblCellMar>
          <w:top w:w="28" w:type="dxa"/>
          <w:left w:w="28" w:type="dxa"/>
          <w:bottom w:w="28" w:type="dxa"/>
          <w:right w:w="28" w:type="dxa"/>
        </w:tblCellMar>
      </w:tblPr>
      <w:tblGrid>
        <w:gridCol w:w="2765"/>
        <w:gridCol w:w="2424"/>
        <w:gridCol w:w="2430"/>
        <w:gridCol w:w="211"/>
        <w:gridCol w:w="786"/>
        <w:gridCol w:w="109"/>
        <w:gridCol w:w="109"/>
        <w:gridCol w:w="109"/>
        <w:gridCol w:w="109"/>
        <w:gridCol w:w="211"/>
        <w:gridCol w:w="786"/>
        <w:gridCol w:w="156"/>
      </w:tblGrid>
      <w:tr>
        <w:trPr/>
        <w:tc>
          <w:tcPr>
            <w:tcW w:w="2765"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19" w:type="dxa"/>
            <w:gridSpan w:val="3"/>
            <w:tcBorders/>
            <w:tcMar>
              <w:top w:w="0"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 </w:t>
            </w:r>
          </w:p>
        </w:tc>
        <w:tc>
          <w:tcPr>
            <w:tcW w:w="2586"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Six Months Ended </w:t>
              <w:br/>
              <w:t> June 30</w:t>
            </w:r>
          </w:p>
        </w:tc>
      </w:tr>
      <w:tr>
        <w:trPr/>
        <w:tc>
          <w:tcPr>
            <w:tcW w:w="761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6"/>
              </w:rPr>
            </w:pPr>
            <w:r>
              <w:rPr>
                <w:rFonts w:ascii="Arial;sans-serif" w:hAnsi="Arial;sans-serif"/>
                <w:b/>
                <w:color w:val="000000"/>
                <w:sz w:val="16"/>
              </w:rPr>
              <w:t>(In thousands)</w:t>
            </w:r>
          </w:p>
        </w:tc>
        <w:tc>
          <w:tcPr>
            <w:tcW w:w="11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7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Net proceeds from sales (purchases) of marketable equity securities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78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31,298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86"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(4,823)</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Net (payments on) proceeds from disposition of businesses, property, plant and equipment and investments</w:t>
            </w:r>
          </w:p>
        </w:tc>
        <w:tc>
          <w:tcPr>
            <w:tcW w:w="99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(40,050)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7,348 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w:t>
            </w:r>
          </w:p>
        </w:tc>
        <w:tc>
          <w:tcPr>
            <w:tcW w:w="99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(39,233)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(32,285)</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Investments in certain businesses, net of cash acquired</w:t>
            </w:r>
          </w:p>
        </w:tc>
        <w:tc>
          <w:tcPr>
            <w:tcW w:w="99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(18,237)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(2,523)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61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Proceeds from repayment of related party loan</w:t>
            </w:r>
          </w:p>
        </w:tc>
        <w:tc>
          <w:tcPr>
            <w:tcW w:w="99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16,273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9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1,109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966 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Net Cash Used in Investing Activities</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7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(48,840)</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7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(31,317)</w:t>
            </w:r>
          </w:p>
        </w:tc>
        <w:tc>
          <w:tcPr>
            <w:tcW w:w="1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left"/>
        <w:rPr/>
      </w:pPr>
      <w:r>
        <w:rPr>
          <w:rFonts w:ascii="Arial;sans-serif" w:hAnsi="Arial;sans-serif"/>
          <w:b w:val="false"/>
          <w:i/>
          <w:color w:val="000000"/>
          <w:sz w:val="20"/>
        </w:rPr>
        <w:t>Net proceeds from sales (purchases) of marketable equity securities.</w:t>
      </w:r>
      <w:r>
        <w:rPr>
          <w:color w:val="000000"/>
        </w:rPr>
        <w:t xml:space="preserve"> </w:t>
      </w:r>
      <w:r>
        <w:rPr>
          <w:rFonts w:ascii="Arial;sans-serif" w:hAnsi="Arial;sans-serif"/>
          <w:b w:val="false"/>
          <w:color w:val="000000"/>
          <w:sz w:val="20"/>
        </w:rPr>
        <w:t xml:space="preserve">During the first six months of 2026, the Company sold marketable equity securities that generated proceeds of $50.0 million. There were no sales of marketable equity securities during the first six months of 2025. The Company purchased $18.7 million and $4.8 million of marketable equity securities during the first six months of 2026 and 2025, respectively. </w:t>
      </w:r>
    </w:p>
    <w:p>
      <w:pPr>
        <w:pStyle w:val="TextBody"/>
        <w:bidi w:val="0"/>
        <w:spacing w:lineRule="auto" w:line="264" w:before="0" w:after="180"/>
        <w:jc w:val="left"/>
        <w:rPr/>
      </w:pPr>
      <w:r>
        <w:rPr>
          <w:rFonts w:ascii="Arial;sans-serif" w:hAnsi="Arial;sans-serif"/>
          <w:b w:val="false"/>
          <w:i/>
          <w:color w:val="000000"/>
          <w:sz w:val="20"/>
        </w:rPr>
        <w:t>Disposition of Businesses.</w:t>
      </w:r>
      <w:r>
        <w:rPr>
          <w:color w:val="000000"/>
        </w:rPr>
        <w:t xml:space="preserve"> </w:t>
      </w:r>
      <w:r>
        <w:rPr>
          <w:rFonts w:ascii="Arial;sans-serif" w:hAnsi="Arial;sans-serif"/>
          <w:b w:val="false"/>
          <w:color w:val="000000"/>
          <w:sz w:val="20"/>
          <w:shd w:fill="FFFFFF" w:val="clear"/>
        </w:rPr>
        <w:t>I</w:t>
      </w:r>
      <w:r>
        <w:rPr>
          <w:rFonts w:ascii="Arial;sans-serif" w:hAnsi="Arial;sans-serif"/>
          <w:b w:val="false"/>
          <w:color w:val="000000"/>
          <w:sz w:val="20"/>
        </w:rPr>
        <w:t xml:space="preserve">n May 2026, Kaplan completed the sale of the KLG business, which is included in Kaplan international. KLG comprised Kaplan International Languages, Alpadia Language Schools, Azurlingua and English as a second language (ESL) Education. </w:t>
      </w:r>
      <w:r>
        <w:rPr>
          <w:rFonts w:ascii="Arial;sans-serif" w:hAnsi="Arial;sans-serif"/>
          <w:b w:val="false"/>
          <w:color w:val="000000"/>
          <w:sz w:val="20"/>
          <w:shd w:fill="FFFFFF" w:val="clear"/>
        </w:rPr>
        <w:t xml:space="preserve">In April 2025, Kaplan completed the sale of a small business, BridgeU Limited, which was included in Kaplan International. </w:t>
      </w:r>
      <w:r>
        <w:rPr>
          <w:rFonts w:ascii="Arial;sans-serif" w:hAnsi="Arial;sans-serif"/>
          <w:b w:val="false"/>
          <w:color w:val="000000"/>
          <w:sz w:val="20"/>
        </w:rPr>
        <w:t xml:space="preserve">In the first half of 2025, </w:t>
      </w:r>
      <w:r>
        <w:rPr>
          <w:rFonts w:ascii="Arial;sans-serif" w:hAnsi="Arial;sans-serif"/>
          <w:b w:val="false"/>
          <w:color w:val="000000"/>
          <w:sz w:val="20"/>
          <w:shd w:fill="FFFFFF" w:val="clear"/>
        </w:rPr>
        <w:t>WGB</w:t>
      </w:r>
      <w:r>
        <w:rPr>
          <w:color w:val="000000"/>
        </w:rPr>
        <w:t xml:space="preserve"> </w:t>
      </w:r>
      <w:r>
        <w:rPr>
          <w:rFonts w:ascii="Arial;sans-serif" w:hAnsi="Arial;sans-serif"/>
          <w:b w:val="false"/>
          <w:color w:val="000000"/>
          <w:sz w:val="20"/>
        </w:rPr>
        <w:t>completed the sale of various websites and related businesses that made up the WGB operations. All remaining WGB operations were substantially shut down by the end of the third quarter of 2025.</w:t>
      </w:r>
    </w:p>
    <w:p>
      <w:pPr>
        <w:pStyle w:val="TextBody"/>
        <w:bidi w:val="0"/>
        <w:spacing w:lineRule="auto" w:line="264" w:before="0" w:after="180"/>
        <w:jc w:val="left"/>
        <w:rPr/>
      </w:pPr>
      <w:r>
        <w:rPr>
          <w:rFonts w:ascii="Arial;sans-serif" w:hAnsi="Arial;sans-serif"/>
          <w:b w:val="false"/>
          <w:i/>
          <w:color w:val="000000"/>
          <w:sz w:val="20"/>
        </w:rPr>
        <w:t>Capital Expenditures.</w:t>
      </w:r>
      <w:r>
        <w:rPr>
          <w:color w:val="000000"/>
        </w:rPr>
        <w:t xml:space="preserve"> </w:t>
      </w:r>
      <w:r>
        <w:rPr>
          <w:rFonts w:ascii="Arial;sans-serif" w:hAnsi="Arial;sans-serif"/>
          <w:b w:val="false"/>
          <w:color w:val="000000"/>
          <w:sz w:val="20"/>
        </w:rPr>
        <w:t>The amounts reflected in the Company’s Condensed Consolidated Statements of Cash Flows are based on cash payments made during the relevant periods, whereas the Company’s capital expenditures for the first six months of 2026 and 2025 disclosed in Note 16 to the Condensed Consolidated Financial Statements include assets acquired during the period. The Company estimates that its capital expenditures will be in the range of $90 million to $100 million in 2026.</w:t>
      </w:r>
    </w:p>
    <w:p>
      <w:pPr>
        <w:pStyle w:val="TextBody"/>
        <w:bidi w:val="0"/>
        <w:spacing w:lineRule="auto" w:line="264" w:before="0" w:after="180"/>
        <w:jc w:val="left"/>
        <w:rPr/>
      </w:pPr>
      <w:r>
        <w:rPr>
          <w:rFonts w:ascii="Arial;sans-serif" w:hAnsi="Arial;sans-serif"/>
          <w:b w:val="false"/>
          <w:i/>
          <w:color w:val="000000"/>
          <w:sz w:val="20"/>
        </w:rPr>
        <w:t>Acquisitions.</w:t>
      </w:r>
      <w:r>
        <w:rPr>
          <w:color w:val="000000"/>
        </w:rPr>
        <w:t xml:space="preserve"> </w:t>
      </w:r>
      <w:r>
        <w:rPr>
          <w:rFonts w:ascii="Arial;sans-serif" w:hAnsi="Arial;sans-serif"/>
          <w:b w:val="false"/>
          <w:color w:val="000000"/>
          <w:sz w:val="20"/>
        </w:rPr>
        <w:t xml:space="preserve">In March 2026, the Company acquired one small business which is included in other healthcare businesses. </w:t>
      </w:r>
      <w:r>
        <w:rPr>
          <w:rFonts w:ascii="Arial;sans-serif" w:hAnsi="Arial;sans-serif"/>
          <w:b w:val="false"/>
          <w:color w:val="000000"/>
          <w:sz w:val="20"/>
          <w:shd w:fill="FFFFFF" w:val="clear"/>
        </w:rPr>
        <w:t xml:space="preserve">In June 2025, Kaplan acquired </w:t>
      </w:r>
      <w:r>
        <w:rPr>
          <w:rFonts w:ascii="Arial;sans-serif" w:hAnsi="Arial;sans-serif"/>
          <w:b w:val="false"/>
          <w:color w:val="000000"/>
          <w:sz w:val="20"/>
        </w:rPr>
        <w:t>one</w:t>
      </w:r>
      <w:r>
        <w:rPr>
          <w:color w:val="000000"/>
          <w:shd w:fill="FFFFFF" w:val="clear"/>
        </w:rPr>
        <w:t xml:space="preserve"> </w:t>
      </w:r>
      <w:r>
        <w:rPr>
          <w:rFonts w:ascii="Arial;sans-serif" w:hAnsi="Arial;sans-serif"/>
          <w:b w:val="false"/>
          <w:color w:val="000000"/>
          <w:sz w:val="20"/>
          <w:shd w:fill="FFFFFF" w:val="clear"/>
        </w:rPr>
        <w:t xml:space="preserve">small business which is included in its supplemental education division. </w:t>
      </w:r>
    </w:p>
    <w:p>
      <w:pPr>
        <w:pStyle w:val="TextBody"/>
        <w:bidi w:val="0"/>
        <w:spacing w:lineRule="auto" w:line="264" w:before="0" w:after="180"/>
        <w:jc w:val="left"/>
        <w:rPr/>
      </w:pPr>
      <w:r>
        <w:rPr>
          <w:rFonts w:ascii="Arial;sans-serif" w:hAnsi="Arial;sans-serif"/>
          <w:b w:val="false"/>
          <w:i/>
          <w:color w:val="000000"/>
          <w:sz w:val="20"/>
        </w:rPr>
        <w:t>Proceeds from repayment of related party loan.</w:t>
      </w:r>
      <w:r>
        <w:rPr>
          <w:color w:val="000000"/>
        </w:rPr>
        <w:t xml:space="preserve"> </w:t>
      </w:r>
      <w:r>
        <w:rPr>
          <w:rFonts w:ascii="Arial;sans-serif" w:hAnsi="Arial;sans-serif"/>
          <w:b w:val="false"/>
          <w:color w:val="000000"/>
          <w:sz w:val="20"/>
        </w:rPr>
        <w:t xml:space="preserve">In the second quarter of 2026, the Company received $16.3 million from Purdue Global related to the advance of $20.0 million during the initial KU transaction. </w:t>
      </w:r>
    </w:p>
    <w:p>
      <w:pPr>
        <w:pStyle w:val="TextBody"/>
        <w:bidi w:val="0"/>
        <w:spacing w:lineRule="auto" w:line="264" w:before="0" w:after="180"/>
        <w:jc w:val="left"/>
        <w:rPr/>
      </w:pPr>
      <w:r>
        <w:rPr>
          <w:rFonts w:ascii="Arial;sans-serif" w:hAnsi="Arial;sans-serif"/>
          <w:b/>
          <w:color w:val="000000"/>
          <w:sz w:val="20"/>
        </w:rPr>
        <w:t xml:space="preserve">Financing Activities. </w:t>
      </w:r>
      <w:r>
        <w:rPr>
          <w:rFonts w:ascii="Arial;sans-serif" w:hAnsi="Arial;sans-serif"/>
          <w:b w:val="false"/>
          <w:color w:val="000000"/>
          <w:sz w:val="20"/>
        </w:rPr>
        <w:t>The Company’s net cash flow used in financing activities were as follows:</w:t>
      </w:r>
    </w:p>
    <w:tbl>
      <w:tblPr>
        <w:tblW w:w="6563" w:type="dxa"/>
        <w:jc w:val="left"/>
        <w:tblInd w:w="0" w:type="dxa"/>
        <w:tblLayout w:type="fixed"/>
        <w:tblCellMar>
          <w:top w:w="28" w:type="dxa"/>
          <w:left w:w="28" w:type="dxa"/>
          <w:bottom w:w="28" w:type="dxa"/>
          <w:right w:w="28" w:type="dxa"/>
        </w:tblCellMar>
      </w:tblPr>
      <w:tblGrid>
        <w:gridCol w:w="1356"/>
        <w:gridCol w:w="1195"/>
        <w:gridCol w:w="1198"/>
        <w:gridCol w:w="211"/>
        <w:gridCol w:w="901"/>
        <w:gridCol w:w="109"/>
        <w:gridCol w:w="109"/>
        <w:gridCol w:w="109"/>
        <w:gridCol w:w="109"/>
        <w:gridCol w:w="211"/>
        <w:gridCol w:w="901"/>
        <w:gridCol w:w="154"/>
      </w:tblGrid>
      <w:tr>
        <w:trPr/>
        <w:tc>
          <w:tcPr>
            <w:tcW w:w="1356"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 </w:t>
            </w:r>
          </w:p>
        </w:tc>
        <w:tc>
          <w:tcPr>
            <w:tcW w:w="2814"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Six Months Ended </w:t>
              <w:br/>
              <w:t> June 30</w:t>
            </w:r>
          </w:p>
        </w:tc>
      </w:tr>
      <w:tr>
        <w:trPr/>
        <w:tc>
          <w:tcPr>
            <w:tcW w:w="374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6"/>
              </w:rPr>
            </w:pPr>
            <w:r>
              <w:rPr>
                <w:rFonts w:ascii="Arial;sans-serif" w:hAnsi="Arial;sans-serif"/>
                <w:b/>
                <w:color w:val="000000"/>
                <w:sz w:val="16"/>
              </w:rPr>
              <w:t>(In thousands)</w:t>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7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Common shares repurchased</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0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(121,985)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(3,468)</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Purchase of noncontrolling interests</w:t>
            </w:r>
          </w:p>
        </w:tc>
        <w:tc>
          <w:tcPr>
            <w:tcW w:w="11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(17,340)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Dividends paid</w:t>
            </w:r>
          </w:p>
        </w:tc>
        <w:tc>
          <w:tcPr>
            <w:tcW w:w="11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(16,311)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(15,660)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Repayments of borrowings</w:t>
            </w:r>
          </w:p>
        </w:tc>
        <w:tc>
          <w:tcPr>
            <w:tcW w:w="11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(15,194)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(13,172)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Net borrowing under revolving credit facility</w:t>
            </w:r>
          </w:p>
        </w:tc>
        <w:tc>
          <w:tcPr>
            <w:tcW w:w="111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Arial;sans-serif" w:hAnsi="Arial;sans-serif"/>
                <w:b/>
                <w:color w:val="000000"/>
                <w:sz w:val="18"/>
              </w:rPr>
              <w:t>13,092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75,000 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Net repayments of vehicle floor plan payable</w:t>
            </w:r>
          </w:p>
        </w:tc>
        <w:tc>
          <w:tcPr>
            <w:tcW w:w="11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(1,863)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(32,776)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Distributions paid to noncontrolling interests</w:t>
            </w:r>
          </w:p>
        </w:tc>
        <w:tc>
          <w:tcPr>
            <w:tcW w:w="11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(4,355)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(190,319)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(8,506)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(8,117)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Net Cash Used in Financing Activities</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w:t>
            </w:r>
          </w:p>
        </w:tc>
        <w:tc>
          <w:tcPr>
            <w:tcW w:w="90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color w:val="000000"/>
                <w:sz w:val="18"/>
              </w:rPr>
            </w:pPr>
            <w:r>
              <w:rPr>
                <w:rFonts w:ascii="Arial;sans-serif" w:hAnsi="Arial;sans-serif"/>
                <w:b/>
                <w:color w:val="000000"/>
                <w:sz w:val="18"/>
              </w:rPr>
              <w:t>(172,462)</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(188,512)</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180"/>
        <w:jc w:val="left"/>
        <w:rPr/>
      </w:pPr>
      <w:r>
        <w:rPr>
          <w:rFonts w:ascii="Arial;sans-serif" w:hAnsi="Arial;sans-serif"/>
          <w:b w:val="false"/>
          <w:i/>
          <w:color w:val="000000"/>
          <w:sz w:val="20"/>
        </w:rPr>
        <w:t xml:space="preserve">Common Stock Repurchases. </w:t>
      </w:r>
      <w:r>
        <w:rPr>
          <w:rFonts w:ascii="Arial;sans-serif" w:hAnsi="Arial;sans-serif"/>
          <w:b w:val="false"/>
          <w:color w:val="000000"/>
          <w:sz w:val="20"/>
        </w:rPr>
        <w:t>During the first six months of 2026, the Company purchased a total of 110,471 shares of its Class B common stock at a cost of approximately $123.2 million, including commissions and accrued excise tax of $1.2 million. On September 12, 2024, the Board of Directors authorized the Company to acquire up to 500,000 shares of its Class B common stock. The Company did not announce a ceiling price or time limit for the purchases. At June 30, 2026, the Company had remaining authorization from the Board of Directors to purchase up to 352,011 shares of Class B common stock.</w:t>
      </w:r>
    </w:p>
    <w:p>
      <w:pPr>
        <w:pStyle w:val="TextBody"/>
        <w:bidi w:val="0"/>
        <w:spacing w:lineRule="auto" w:line="264" w:before="0" w:after="180"/>
        <w:jc w:val="left"/>
        <w:rPr/>
      </w:pPr>
      <w:r>
        <w:rPr>
          <w:rFonts w:ascii="Arial;sans-serif" w:hAnsi="Arial;sans-serif"/>
          <w:b w:val="false"/>
          <w:i/>
          <w:color w:val="000000"/>
          <w:sz w:val="20"/>
        </w:rPr>
        <w:t xml:space="preserve">Transactions with minority shareholders. </w:t>
      </w:r>
      <w:r>
        <w:rPr>
          <w:rFonts w:ascii="Arial;sans-serif" w:hAnsi="Arial;sans-serif"/>
          <w:b w:val="false"/>
          <w:color w:val="000000"/>
          <w:sz w:val="20"/>
        </w:rPr>
        <w:t>In M</w:t>
      </w:r>
      <w:r>
        <w:rPr>
          <w:rFonts w:ascii="Arial;sans-serif" w:hAnsi="Arial;sans-serif"/>
          <w:b w:val="false"/>
          <w:color w:val="000000"/>
          <w:sz w:val="20"/>
          <w:shd w:fill="FFFFFF" w:val="clear"/>
        </w:rPr>
        <w:t xml:space="preserve">arch 2026, the Company acquired some of the minority-owned shares of CSI for a total amount of </w:t>
      </w:r>
      <w:r>
        <w:rPr>
          <w:rFonts w:ascii="Arial;sans-serif" w:hAnsi="Arial;sans-serif"/>
          <w:b w:val="false"/>
          <w:color w:val="000000"/>
          <w:sz w:val="20"/>
        </w:rPr>
        <w:t xml:space="preserve">$41.0 million. The Company paid cash of $16.4 million and entered into promissory notes with the minority owners for the remaining $24.6 million. In January 2026, pursuant to the exercise of a put right, the Company purchased some of the minority-owned interest of Clarus for $1.0 million. </w:t>
      </w:r>
    </w:p>
    <w:p>
      <w:pPr>
        <w:pStyle w:val="TextBody"/>
        <w:bidi w:val="0"/>
        <w:spacing w:lineRule="auto" w:line="264" w:before="0" w:after="180"/>
        <w:jc w:val="left"/>
        <w:rPr/>
      </w:pPr>
      <w:r>
        <w:rPr>
          <w:rFonts w:ascii="Arial;sans-serif" w:hAnsi="Arial;sans-serif"/>
          <w:b w:val="false"/>
          <w:color w:val="000000"/>
          <w:sz w:val="20"/>
          <w:shd w:fill="FFFFFF" w:val="clear"/>
        </w:rPr>
        <w:t xml:space="preserve">On February 25, 2025, the Company and a group of minority shareholders entered into an agreement to settle a significant portion of the mandatorily redeemable noncontrolling interest related to GHC One, including CSI, for a total of </w:t>
      </w:r>
      <w:r>
        <w:rPr>
          <w:rFonts w:ascii="Arial;sans-serif" w:hAnsi="Arial;sans-serif"/>
          <w:b w:val="false"/>
          <w:color w:val="000000"/>
          <w:sz w:val="20"/>
        </w:rPr>
        <w:t>$205 million</w:t>
      </w:r>
      <w:r>
        <w:rPr>
          <w:rFonts w:ascii="Arial;sans-serif" w:hAnsi="Arial;sans-serif"/>
          <w:b w:val="false"/>
          <w:color w:val="000000"/>
          <w:sz w:val="20"/>
          <w:shd w:fill="FFFFFF" w:val="clear"/>
        </w:rPr>
        <w:t xml:space="preserve">, which consisted of approximately </w:t>
      </w:r>
      <w:r>
        <w:rPr>
          <w:rFonts w:ascii="Arial;sans-serif" w:hAnsi="Arial;sans-serif"/>
          <w:b w:val="false"/>
          <w:color w:val="000000"/>
          <w:sz w:val="20"/>
        </w:rPr>
        <w:t>$186.25 million</w:t>
      </w:r>
      <w:r>
        <w:rPr>
          <w:color w:val="000000"/>
          <w:shd w:fill="FFFFFF" w:val="clear"/>
        </w:rPr>
        <w:t xml:space="preserve"> </w:t>
      </w:r>
      <w:r>
        <w:rPr>
          <w:rFonts w:ascii="Arial;sans-serif" w:hAnsi="Arial;sans-serif"/>
          <w:b w:val="false"/>
          <w:color w:val="000000"/>
          <w:sz w:val="20"/>
          <w:shd w:fill="FFFFFF" w:val="clear"/>
        </w:rPr>
        <w:t xml:space="preserve">in cash and </w:t>
      </w:r>
      <w:r>
        <w:rPr>
          <w:rFonts w:ascii="Arial;sans-serif" w:hAnsi="Arial;sans-serif"/>
          <w:b w:val="false"/>
          <w:color w:val="000000"/>
          <w:sz w:val="20"/>
        </w:rPr>
        <w:t>$18.75 million</w:t>
      </w:r>
      <w:r>
        <w:rPr>
          <w:color w:val="000000"/>
          <w:shd w:fill="FFFFFF" w:val="clear"/>
        </w:rPr>
        <w:t xml:space="preserve"> </w:t>
      </w:r>
      <w:r>
        <w:rPr>
          <w:rFonts w:ascii="Arial;sans-serif" w:hAnsi="Arial;sans-serif"/>
          <w:b w:val="false"/>
          <w:color w:val="000000"/>
          <w:sz w:val="20"/>
          <w:shd w:fill="FFFFFF" w:val="clear"/>
        </w:rPr>
        <w:t>in Graham Holdings Company Class B common stock.</w:t>
      </w:r>
    </w:p>
    <w:p>
      <w:pPr>
        <w:pStyle w:val="TextBody"/>
        <w:bidi w:val="0"/>
        <w:spacing w:lineRule="auto" w:line="264" w:before="0" w:after="180"/>
        <w:jc w:val="left"/>
        <w:rPr/>
      </w:pPr>
      <w:r>
        <w:rPr>
          <w:rFonts w:ascii="Arial;sans-serif" w:hAnsi="Arial;sans-serif"/>
          <w:b w:val="false"/>
          <w:i/>
          <w:color w:val="000000"/>
          <w:sz w:val="20"/>
        </w:rPr>
        <w:t xml:space="preserve">Dividends. </w:t>
      </w:r>
      <w:r>
        <w:rPr>
          <w:rFonts w:ascii="Arial;sans-serif" w:hAnsi="Arial;sans-serif"/>
          <w:b w:val="false"/>
          <w:color w:val="000000"/>
          <w:sz w:val="20"/>
        </w:rPr>
        <w:t>The quarterly dividend rate per share was $1.88 and $1.80 for the first six months of 2026 and 2025, respectively. The Company expects to pay a dividend of $7.52 per share in 2026.</w:t>
      </w:r>
    </w:p>
    <w:p>
      <w:pPr>
        <w:pStyle w:val="TextBody"/>
        <w:bidi w:val="0"/>
        <w:spacing w:lineRule="auto" w:line="264" w:before="0" w:after="180"/>
        <w:jc w:val="left"/>
        <w:rPr/>
      </w:pPr>
      <w:r>
        <w:rPr>
          <w:rFonts w:ascii="Arial;sans-serif" w:hAnsi="Arial;sans-serif"/>
          <w:b w:val="false"/>
          <w:i/>
          <w:color w:val="000000"/>
          <w:sz w:val="20"/>
        </w:rPr>
        <w:t>Borrowings and Vehicle Floor Plan Payable.</w:t>
      </w:r>
      <w:r>
        <w:rPr>
          <w:color w:val="000000"/>
        </w:rPr>
        <w:t xml:space="preserve"> </w:t>
      </w:r>
      <w:r>
        <w:rPr>
          <w:rFonts w:ascii="Arial;sans-serif" w:hAnsi="Arial;sans-serif"/>
          <w:b w:val="false"/>
          <w:color w:val="000000"/>
          <w:sz w:val="20"/>
        </w:rPr>
        <w:t>In the first six months of 2026, the Company repaid amounts borrowed under the commercial notes at the automotive subsidiary and other debt and made additional borrowings on the $400 million revolving credit facility. In the first six months of 2025, the Company made additional borrowings on the $300 million revolving credit facility and repaid amounts borrowed under the term loan and commercial notes at the automotive subsidiary. In the first six months of 2026 and 2025, the Company used vehicle floor plan financing to fund the purchase of new, used and service loaner vehicles at its automotive subsidiary. The repayments of vehicle floor plan payable fluctuates with changes in the amount of vehicle inventory held by the automotive dealerships.</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There were no other significant changes to the Company’s contractual obligations or other commercial commitments from those disclosed in the Company’s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u w:val="single"/>
        </w:rPr>
      </w:pPr>
      <w:r>
        <w:rPr>
          <w:rFonts w:ascii="Arial;sans-serif" w:hAnsi="Arial;sans-serif"/>
          <w:b/>
          <w:color w:val="000000"/>
          <w:sz w:val="20"/>
          <w:u w:val="single"/>
        </w:rPr>
        <w:t>Forward-Looking Statements</w:t>
      </w:r>
    </w:p>
    <w:p>
      <w:pPr>
        <w:pStyle w:val="TextBody"/>
        <w:bidi w:val="0"/>
        <w:spacing w:lineRule="auto" w:line="264" w:before="0" w:after="180"/>
        <w:jc w:val="left"/>
        <w:rPr/>
      </w:pPr>
      <w:r>
        <w:rPr>
          <w:rFonts w:ascii="Arial;sans-serif" w:hAnsi="Arial;sans-serif"/>
          <w:b w:val="false"/>
          <w:color w:val="000000"/>
          <w:sz w:val="20"/>
          <w:shd w:fill="FFFFFF" w:val="clear"/>
        </w:rPr>
        <w:t xml:space="preserve">All public statements made by the Company and its representatives that are not statements of historical fact, including certain statements </w:t>
      </w:r>
      <w:r>
        <w:rPr>
          <w:rFonts w:ascii="Arial;sans-serif" w:hAnsi="Arial;sans-serif"/>
          <w:b w:val="false"/>
          <w:color w:val="000000"/>
          <w:sz w:val="20"/>
        </w:rPr>
        <w:t xml:space="preserve">in this report, </w:t>
      </w:r>
      <w:r>
        <w:rPr>
          <w:rFonts w:ascii="Arial;sans-serif" w:hAnsi="Arial;sans-serif"/>
          <w:b w:val="false"/>
          <w:color w:val="000000"/>
          <w:sz w:val="20"/>
          <w:shd w:fill="FFFFFF" w:val="clear"/>
        </w:rPr>
        <w:t xml:space="preserve">in the Company’s Annual Report on Form 10-K and in the Company’s </w:t>
      </w:r>
      <w:r>
        <w:rPr>
          <w:rFonts w:ascii="Arial;sans-serif" w:hAnsi="Arial;sans-serif"/>
          <w:b w:val="false"/>
          <w:color w:val="000000"/>
          <w:sz w:val="20"/>
        </w:rPr>
        <w:t>2025</w:t>
      </w:r>
      <w:r>
        <w:rPr>
          <w:color w:val="000000"/>
          <w:shd w:fill="FFFFFF" w:val="clear"/>
        </w:rPr>
        <w:t xml:space="preserve"> </w:t>
      </w:r>
      <w:r>
        <w:rPr>
          <w:rFonts w:ascii="Arial;sans-serif" w:hAnsi="Arial;sans-serif"/>
          <w:b w:val="false"/>
          <w:color w:val="000000"/>
          <w:sz w:val="20"/>
          <w:shd w:fill="FFFFFF" w:val="clear"/>
        </w:rPr>
        <w:t>Annual Report to Stockholders, are “forward-looking statements” within the meaning of the Private Securities Litigation Reform Act of 1995. Forward-looking statements are based on expectations, forecasts, and assumptions by the Company’s management and involve a number of risks, uncertainties, and other factors that could cause actual results to differ from those stated, including, without limitation, comments about expectations related to acquisitions or dispositions or related business activities, the Company’s business strategies and objectives, the prospects for growth in the Company’s various business operations, the Company’s future financial performance, and the risks and uncertainties described in Item 1A of the Company’s Annual Report on Form 10-K. Accordingly, undue reliance should not be placed on any forward-looking statement made by or on behalf of the Company. The Company assumes no obligation to update any forward-looking statement after the date on which such statement is made, even if new information subsequently becomes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2025 Annual Report filed on Form 10-K have not otherwise changed significantly.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(a) Evaluation of Disclosure Controls and Procedures</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 xml:space="preserve">An evaluation was performed by the Company’s management, with the participation of the Company’s Chief Executive Officer (principal executive officer) and the Company’s Chief Financial Officer (principal financial officer), of the effectiveness of the Company’s disclosure controls and procedures (as defined in Exchange Act Rules 13a-15(e) and 15d-15(e)), as of June 30, 2026. Based on that evaluation, the Company’s Chief Executive Officer and Chief Financial Officer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time periods specified in the Securities and Exchange Commission’s rules and forms and is accumulated and communicated to management, including the Chief Executive Officer and Chief Financial Officer, in a manner that allows timely decisions regarding required disclosure.</w:t>
      </w:r>
    </w:p>
    <w:p>
      <w:pPr>
        <w:pStyle w:val="TextBody"/>
        <w:bidi w:val="0"/>
        <w:spacing w:lineRule="auto" w:line="288" w:before="0" w:after="180"/>
        <w:jc w:val="both"/>
        <w:rPr>
          <w:rFonts w:ascii="Arial;sans-serif" w:hAnsi="Arial;sans-serif"/>
          <w:b/>
          <w:i/>
          <w:color w:val="000000"/>
          <w:sz w:val="20"/>
        </w:rPr>
      </w:pPr>
      <w:r>
        <w:rPr>
          <w:rFonts w:ascii="Arial;sans-serif" w:hAnsi="Arial;sans-serif"/>
          <w:b/>
          <w:i/>
          <w:color w:val="000000"/>
          <w:sz w:val="20"/>
        </w:rPr>
        <w:t>(b) Changes in Internal Control Over Financial Reporting</w:t>
      </w:r>
    </w:p>
    <w:p>
      <w:pPr>
        <w:pStyle w:val="TextBody"/>
        <w:bidi w:val="0"/>
        <w:spacing w:lineRule="auto" w:line="264" w:before="0" w:after="180"/>
        <w:jc w:val="left"/>
        <w:rPr/>
      </w:pPr>
      <w:r>
        <w:rPr>
          <w:rFonts w:ascii="Arial;sans-serif" w:hAnsi="Arial;sans-serif"/>
          <w:b w:val="false"/>
          <w:color w:val="222222"/>
          <w:sz w:val="20"/>
        </w:rPr>
        <w:t xml:space="preserve">There has been no change in the Company’s internal control over financial reporting during the quarter ended </w:t>
      </w:r>
      <w:r>
        <w:rPr>
          <w:rFonts w:ascii="Arial;sans-serif" w:hAnsi="Arial;sans-serif"/>
          <w:b w:val="false"/>
          <w:color w:val="000000"/>
          <w:sz w:val="20"/>
        </w:rPr>
        <w:t xml:space="preserve">June 30, 2026 </w:t>
      </w:r>
      <w:r>
        <w:rPr>
          <w:rFonts w:ascii="Arial;sans-serif" w:hAnsi="Arial;sans-serif"/>
          <w:b w:val="false"/>
          <w:color w:val="222222"/>
          <w:sz w:val="20"/>
        </w:rPr>
        <w:t>that has materially affected, or is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180" w:after="180"/>
        <w:jc w:val="center"/>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rPr>
      </w:pPr>
      <w:r>
        <w:rPr>
          <w:rFonts w:ascii="Arial;sans-serif" w:hAnsi="Arial;sans-serif"/>
          <w:b/>
          <w:color w:val="000000"/>
          <w:sz w:val="20"/>
        </w:rPr>
        <w:t xml:space="preserve">Item 2. Unregistered Sales of Equity Securities and Use of Proceeds </w:t>
      </w:r>
    </w:p>
    <w:p>
      <w:pPr>
        <w:pStyle w:val="TextBody"/>
        <w:bidi w:val="0"/>
        <w:spacing w:lineRule="auto" w:line="264" w:before="0" w:after="180"/>
        <w:jc w:val="left"/>
        <w:rPr>
          <w:rFonts w:ascii="Arial;sans-serif" w:hAnsi="Arial;sans-serif"/>
          <w:b/>
          <w:i/>
          <w:color w:val="000000"/>
          <w:sz w:val="20"/>
        </w:rPr>
      </w:pPr>
      <w:r>
        <w:rPr>
          <w:rFonts w:ascii="Arial;sans-serif" w:hAnsi="Arial;sans-serif"/>
          <w:b/>
          <w:i/>
          <w:color w:val="000000"/>
          <w:sz w:val="20"/>
        </w:rPr>
        <w:t>Purchases of Equity Securities by the Issuer and Affiliated Purchasers</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During the quarter ended June 30, 2026, the Company purchased shares of its Class B Common Stock as set forth in the following table:</w:t>
      </w:r>
    </w:p>
    <w:tbl>
      <w:tblPr>
        <w:tblW w:w="10205" w:type="dxa"/>
        <w:jc w:val="left"/>
        <w:tblInd w:w="0" w:type="dxa"/>
        <w:tblLayout w:type="fixed"/>
        <w:tblCellMar>
          <w:top w:w="28" w:type="dxa"/>
          <w:left w:w="28" w:type="dxa"/>
          <w:bottom w:w="28" w:type="dxa"/>
          <w:right w:w="28" w:type="dxa"/>
        </w:tblCellMar>
      </w:tblPr>
      <w:tblGrid>
        <w:gridCol w:w="270"/>
        <w:gridCol w:w="237"/>
        <w:gridCol w:w="239"/>
        <w:gridCol w:w="109"/>
        <w:gridCol w:w="109"/>
        <w:gridCol w:w="109"/>
        <w:gridCol w:w="564"/>
        <w:gridCol w:w="499"/>
        <w:gridCol w:w="501"/>
        <w:gridCol w:w="109"/>
        <w:gridCol w:w="109"/>
        <w:gridCol w:w="109"/>
        <w:gridCol w:w="277"/>
        <w:gridCol w:w="1145"/>
        <w:gridCol w:w="143"/>
        <w:gridCol w:w="109"/>
        <w:gridCol w:w="109"/>
        <w:gridCol w:w="109"/>
        <w:gridCol w:w="827"/>
        <w:gridCol w:w="805"/>
        <w:gridCol w:w="807"/>
        <w:gridCol w:w="109"/>
        <w:gridCol w:w="109"/>
        <w:gridCol w:w="109"/>
        <w:gridCol w:w="878"/>
        <w:gridCol w:w="703"/>
        <w:gridCol w:w="1002"/>
      </w:tblGrid>
      <w:tr>
        <w:trPr/>
        <w:tc>
          <w:tcPr>
            <w:tcW w:w="27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6"/>
              </w:rPr>
            </w:pPr>
            <w:r>
              <w:rPr>
                <w:rFonts w:ascii="Arial;sans-serif" w:hAnsi="Arial;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cMar>
              <w:top w:w="0" w:type="dxa"/>
              <w:left w:w="0" w:type="dxa"/>
              <w:bottom w:w="0" w:type="dxa"/>
              <w:right w:w="0" w:type="dxa"/>
            </w:tcMar>
            <w:vAlign w:val="center"/>
          </w:tcPr>
          <w:p>
            <w:pPr>
              <w:pStyle w:val="TableContents"/>
              <w:bidi w:val="0"/>
              <w:spacing w:lineRule="auto" w:line="264" w:before="0" w:after="0"/>
              <w:jc w:val="center"/>
              <w:rPr/>
            </w:pPr>
            <w:r>
              <w:rPr>
                <w:rFonts w:ascii="Arial;sans-serif" w:hAnsi="Arial;sans-serif"/>
                <w:b/>
                <w:color w:val="000000"/>
                <w:sz w:val="16"/>
              </w:rPr>
              <w:t>Average Price Paid per Share</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64" w:before="0" w:after="0"/>
              <w:jc w:val="center"/>
              <w:rPr/>
            </w:pPr>
            <w:r>
              <w:rPr>
                <w:rFonts w:ascii="Arial;sans-serif" w:hAnsi="Arial;sans-serif"/>
                <w:b/>
                <w:color w:val="000000"/>
                <w:sz w:val="16"/>
              </w:rPr>
              <w:t>Total Number of Shares Purchased as Part of Publicly Announced Plan</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3"/>
            <w:tcBorders/>
            <w:tcMar>
              <w:top w:w="0" w:type="dxa"/>
              <w:left w:w="0" w:type="dxa"/>
              <w:bottom w:w="0" w:type="dxa"/>
              <w:right w:w="0" w:type="dxa"/>
            </w:tcMar>
            <w:vAlign w:val="center"/>
          </w:tcPr>
          <w:p>
            <w:pPr>
              <w:pStyle w:val="TableContents"/>
              <w:bidi w:val="0"/>
              <w:spacing w:lineRule="auto" w:line="264" w:before="0" w:after="0"/>
              <w:jc w:val="center"/>
              <w:rPr/>
            </w:pPr>
            <w:r>
              <w:rPr>
                <w:rFonts w:ascii="Arial;sans-serif" w:hAnsi="Arial;sans-serif"/>
                <w:b/>
                <w:color w:val="000000"/>
                <w:sz w:val="16"/>
              </w:rPr>
              <w:t>Maximum Number of Shares that May Yet Be Purchased Under the Plan</w:t>
            </w:r>
            <w:r>
              <w:rPr>
                <w:rFonts w:ascii="Arial;sans-serif" w:hAnsi="Arial;sans-serif"/>
                <w:b/>
                <w:color w:val="000000"/>
                <w:sz w:val="10"/>
              </w:rPr>
              <w:t>(2)</w:t>
            </w:r>
          </w:p>
        </w:tc>
      </w:tr>
      <w:tr>
        <w:trPr/>
        <w:tc>
          <w:tcPr>
            <w:tcW w:w="7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April 1 - 30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27,271 </w:t>
            </w:r>
          </w:p>
        </w:tc>
        <w:tc>
          <w:tcPr>
            <w:tcW w:w="5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1,125.38 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27,271 </w:t>
            </w:r>
          </w:p>
        </w:tc>
        <w:tc>
          <w:tcPr>
            <w:tcW w:w="8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403,021 </w:t>
            </w:r>
          </w:p>
        </w:tc>
        <w:tc>
          <w:tcPr>
            <w:tcW w:w="10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May 1 - 31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25,980 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1,127.73 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25,980 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377,041 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June 1 - 30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25,030 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1,147.84 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25,030 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352,011 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78,281 </w:t>
            </w:r>
          </w:p>
        </w:tc>
        <w:tc>
          <w:tcPr>
            <w:tcW w:w="5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5" w:type="dxa"/>
            <w:tcBorders/>
            <w:tcMar>
              <w:top w:w="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1,133.34 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18"/>
              </w:rPr>
            </w:pPr>
            <w:r>
              <w:rPr>
                <w:rFonts w:ascii="Arial;sans-serif" w:hAnsi="Arial;sans-serif"/>
                <w:b w:val="false"/>
                <w:color w:val="000000"/>
                <w:sz w:val="18"/>
              </w:rPr>
              <w:t>78,281 </w:t>
            </w:r>
          </w:p>
        </w:tc>
        <w:tc>
          <w:tcPr>
            <w:tcW w:w="8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left"/>
        <w:rPr>
          <w:rFonts w:ascii="Arial;sans-serif" w:hAnsi="Arial;sans-serif"/>
          <w:b w:val="false"/>
          <w:color w:val="000000"/>
          <w:sz w:val="16"/>
        </w:rPr>
      </w:pPr>
      <w:r>
        <w:rPr>
          <w:rFonts w:ascii="Arial;sans-serif" w:hAnsi="Arial;sans-serif"/>
          <w:b w:val="false"/>
          <w:color w:val="000000"/>
          <w:sz w:val="16"/>
        </w:rPr>
        <w:t>(1) Average price paid per share includes costs associated with repurchases, including commissions and excise taxes.</w:t>
      </w:r>
    </w:p>
    <w:p>
      <w:pPr>
        <w:pStyle w:val="TextBody"/>
        <w:bidi w:val="0"/>
        <w:spacing w:lineRule="auto" w:line="264" w:before="0" w:after="180"/>
        <w:jc w:val="left"/>
        <w:rPr/>
      </w:pPr>
      <w:r>
        <w:rPr>
          <w:rFonts w:ascii="Arial;sans-serif" w:hAnsi="Arial;sans-serif"/>
          <w:b w:val="false"/>
          <w:color w:val="000000"/>
          <w:sz w:val="16"/>
        </w:rPr>
        <w:t>(2) O</w:t>
      </w:r>
      <w:r>
        <w:rPr>
          <w:rFonts w:ascii="Arial;sans-serif" w:hAnsi="Arial;sans-serif"/>
          <w:b w:val="false"/>
          <w:color w:val="000000"/>
          <w:sz w:val="16"/>
          <w:shd w:fill="FFFFFF" w:val="clear"/>
        </w:rPr>
        <w:t>n September 12, 2024, the Company’s Board of Directors authorized the Company to purchase, on the open market or otherwise, up to 500,000 shares of its Class B Common Stock. This authorization includes shares that remained under the previous authorization. There is no expiration date for this authorizati</w:t>
      </w:r>
      <w:r>
        <w:rPr>
          <w:rFonts w:ascii="Arial;sans-serif" w:hAnsi="Arial;sans-serif"/>
          <w:b w:val="false"/>
          <w:color w:val="000000"/>
          <w:sz w:val="16"/>
        </w:rPr>
        <w:t>on. Share purchases made during the quarter ended June 30, 2026 were open market transactions or transactions to settle employee tax withholding obligations related to the vesting of restricted stock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64" w:before="0" w:after="180"/>
        <w:jc w:val="left"/>
        <w:rPr>
          <w:rFonts w:ascii="Arial;sans-serif" w:hAnsi="Arial;sans-serif"/>
          <w:b/>
          <w:i/>
          <w:color w:val="000000"/>
          <w:sz w:val="20"/>
        </w:rPr>
      </w:pPr>
      <w:r>
        <w:rPr>
          <w:rFonts w:ascii="Arial;sans-serif" w:hAnsi="Arial;sans-serif"/>
          <w:b/>
          <w:i/>
          <w:color w:val="000000"/>
          <w:sz w:val="20"/>
        </w:rPr>
        <w:t>Rule 10b5-1 Trading Plans</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During the quarter ended June 30, 2026, none of the Company’s directors or officers (as defined in Rule 16a-1(f) of the Exchange Act) adopted, modified or terminated a “Rule 10b5-1 trading arrangement” or “non-Rule 10b5-1 trading arrangement,”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0" w:after="0"/>
        <w:jc w:val="left"/>
        <w:rPr/>
      </w:pPr>
      <w:r>
        <w:rPr>
          <w:rFonts w:ascii="Arial;sans-serif" w:hAnsi="Arial;sans-serif"/>
          <w:b/>
          <w:color w:val="000000"/>
          <w:sz w:val="20"/>
        </w:rPr>
        <w:t>Item 6. Exhibits</w:t>
      </w:r>
      <w:r>
        <w:rPr>
          <w:rFonts w:ascii="Arial;sans-serif" w:hAnsi="Arial;sans-serif"/>
          <w:b/>
          <w:color w:val="000000"/>
          <w:sz w:val="18"/>
        </w:rPr>
        <w:t>.</w:t>
      </w:r>
    </w:p>
    <w:tbl>
      <w:tblPr>
        <w:tblW w:w="10205" w:type="dxa"/>
        <w:jc w:val="left"/>
        <w:tblInd w:w="0" w:type="dxa"/>
        <w:tblLayout w:type="fixed"/>
        <w:tblCellMar>
          <w:top w:w="28" w:type="dxa"/>
          <w:left w:w="28" w:type="dxa"/>
          <w:bottom w:w="28" w:type="dxa"/>
          <w:right w:w="28" w:type="dxa"/>
        </w:tblCellMar>
      </w:tblPr>
      <w:tblGrid>
        <w:gridCol w:w="372"/>
        <w:gridCol w:w="327"/>
        <w:gridCol w:w="328"/>
        <w:gridCol w:w="2677"/>
        <w:gridCol w:w="2677"/>
        <w:gridCol w:w="3824"/>
      </w:tblGrid>
      <w:tr>
        <w:trPr/>
        <w:tc>
          <w:tcPr>
            <w:tcW w:w="37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10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Exhibit Number</w:t>
            </w:r>
            <w:r>
              <w:rPr>
                <w:color w:val="000000"/>
              </w:rPr>
              <w:t> </w:t>
            </w:r>
          </w:p>
        </w:tc>
        <w:tc>
          <w:tcPr>
            <w:tcW w:w="917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Description</w:t>
            </w:r>
            <w:r>
              <w:rPr>
                <w:color w:val="000000"/>
              </w:rPr>
              <w:t> </w:t>
            </w:r>
          </w:p>
        </w:tc>
      </w:tr>
      <w:tr>
        <w:trPr/>
        <w:tc>
          <w:tcPr>
            <w:tcW w:w="10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3.1</w:t>
            </w:r>
          </w:p>
        </w:tc>
        <w:tc>
          <w:tcPr>
            <w:tcW w:w="9178"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2">
              <w:r>
                <w:rPr>
                  <w:rStyle w:val="InternetLink"/>
                  <w:rFonts w:ascii="Arial;sans-serif" w:hAnsi="Arial;sans-serif"/>
                  <w:b w:val="false"/>
                  <w:color w:val="0000FF"/>
                  <w:sz w:val="18"/>
                  <w:u w:val="single"/>
                </w:rPr>
                <w:t>Restated Certificate of Incorporation of the Company dated November 13, 2003 (incorporated by reference to Exhibit 3.1 to the Company’s Annual Report on Form 10-K for the fiscal year ended December 28, 2003).</w:t>
              </w:r>
            </w:hyperlink>
          </w:p>
        </w:tc>
      </w:tr>
      <w:tr>
        <w:trPr/>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3.2</w:t>
            </w:r>
          </w:p>
        </w:tc>
        <w:tc>
          <w:tcPr>
            <w:tcW w:w="9178"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3">
              <w:r>
                <w:rPr>
                  <w:rStyle w:val="InternetLink"/>
                  <w:rFonts w:ascii="Arial;sans-serif" w:hAnsi="Arial;sans-serif"/>
                  <w:b w:val="false"/>
                  <w:color w:val="0000FF"/>
                  <w:sz w:val="18"/>
                  <w:u w:val="single"/>
                </w:rPr>
                <w:t>Certificate of Amendment, effective November 29, 2013, to the Restated Certificate of Incorporation of the Company (incorporated by reference to Exhibit 3.1 to the Company’s current Report on Form 8-K dated November 29, 2013).</w:t>
              </w:r>
            </w:hyperlink>
          </w:p>
        </w:tc>
      </w:tr>
      <w:tr>
        <w:trPr/>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3.3</w:t>
            </w:r>
          </w:p>
        </w:tc>
        <w:tc>
          <w:tcPr>
            <w:tcW w:w="9178"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4">
              <w:r>
                <w:rPr>
                  <w:rStyle w:val="InternetLink"/>
                  <w:rFonts w:ascii="Arial;sans-serif" w:hAnsi="Arial;sans-serif"/>
                  <w:b w:val="false"/>
                  <w:color w:val="0000FF"/>
                  <w:sz w:val="18"/>
                  <w:u w:val="single"/>
                </w:rPr>
                <w:t>By-Laws of the Company as amended and restated through September 12, 2024 (incorporated by reference to Exhibit 3.1 to the Company’s Current Report on Form 8-K dated September 12, 2024).</w:t>
              </w:r>
            </w:hyperlink>
          </w:p>
        </w:tc>
      </w:tr>
      <w:tr>
        <w:trPr/>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4.1</w:t>
            </w:r>
          </w:p>
        </w:tc>
        <w:tc>
          <w:tcPr>
            <w:tcW w:w="9178"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5">
              <w:r>
                <w:rPr>
                  <w:rStyle w:val="InternetLink"/>
                  <w:rFonts w:ascii="Arial;sans-serif" w:hAnsi="Arial;sans-serif"/>
                  <w:b w:val="false"/>
                  <w:color w:val="0000FF"/>
                  <w:sz w:val="19"/>
                  <w:u w:val="single"/>
                </w:rPr>
                <w:t>Senior Notes Indenture dated as of November 24, 2025, between the Company and The Bank of New York Mellon Trust Company, N.A., as Trustee (incorporated by reference to Exhibit 4.1 to the Company’s Current Report on Form 8-K dated November 24, 2025).</w:t>
              </w:r>
            </w:hyperlink>
          </w:p>
        </w:tc>
      </w:tr>
      <w:tr>
        <w:trPr/>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9178"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a2026q210-qex311.htm">
              <w:r>
                <w:rPr>
                  <w:rStyle w:val="InternetLink"/>
                  <w:rFonts w:ascii="Arial;sans-serif" w:hAnsi="Arial;sans-serif"/>
                  <w:b w:val="false"/>
                  <w:color w:val="0000FF"/>
                  <w:sz w:val="18"/>
                  <w:u w:val="single"/>
                </w:rPr>
                <w:t>Rule 13a-14(a)/15d-14(a) Certification of the Chief Executive Officer.</w:t>
              </w:r>
            </w:hyperlink>
          </w:p>
        </w:tc>
      </w:tr>
      <w:tr>
        <w:trPr/>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9178"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a2026q210-qex312.htm">
              <w:r>
                <w:rPr>
                  <w:rStyle w:val="InternetLink"/>
                  <w:rFonts w:ascii="Arial;sans-serif" w:hAnsi="Arial;sans-serif"/>
                  <w:b w:val="false"/>
                  <w:color w:val="0000FF"/>
                  <w:sz w:val="18"/>
                  <w:u w:val="single"/>
                </w:rPr>
                <w:t>Rule 13a-14(a)/15d-14(a) Certification of the Chief Financial Officer.</w:t>
              </w:r>
            </w:hyperlink>
          </w:p>
        </w:tc>
      </w:tr>
      <w:tr>
        <w:trPr/>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32</w:t>
            </w:r>
          </w:p>
        </w:tc>
        <w:tc>
          <w:tcPr>
            <w:tcW w:w="9178"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a2026q210-qex32.htm">
              <w:r>
                <w:rPr>
                  <w:rStyle w:val="InternetLink"/>
                  <w:rFonts w:ascii="Arial;sans-serif" w:hAnsi="Arial;sans-serif"/>
                  <w:b w:val="false"/>
                  <w:color w:val="0000FF"/>
                  <w:sz w:val="18"/>
                  <w:u w:val="single"/>
                </w:rPr>
                <w:t>Section 1350 Certification of the Chief Executive Officer and the Chief Financial Officer.</w:t>
              </w:r>
            </w:hyperlink>
            <w:r>
              <w:rPr>
                <w:color w:val="000000"/>
              </w:rPr>
              <w:t xml:space="preserve"> </w:t>
            </w:r>
            <w:r>
              <w:rPr>
                <w:rFonts w:ascii="Arial;sans-serif" w:hAnsi="Arial;sans-serif"/>
                <w:b w:val="false"/>
                <w:color w:val="000000"/>
                <w:sz w:val="18"/>
              </w:rPr>
              <w:t>*</w:t>
            </w:r>
          </w:p>
        </w:tc>
      </w:tr>
      <w:tr>
        <w:trPr/>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101.INS</w:t>
            </w:r>
          </w:p>
        </w:tc>
        <w:tc>
          <w:tcPr>
            <w:tcW w:w="9178"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Inline XBRL Instance Document - the instance document does not appear in the Interactive Data File because its XBRL tags are embedded within the Inline XBRL document</w:t>
            </w:r>
          </w:p>
        </w:tc>
      </w:tr>
      <w:tr>
        <w:trPr/>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101.SCH</w:t>
            </w:r>
          </w:p>
        </w:tc>
        <w:tc>
          <w:tcPr>
            <w:tcW w:w="9178"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Inline XBRL Taxonomy Extension Schema Document</w:t>
            </w:r>
          </w:p>
        </w:tc>
      </w:tr>
      <w:tr>
        <w:trPr/>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101.CAL</w:t>
            </w:r>
          </w:p>
        </w:tc>
        <w:tc>
          <w:tcPr>
            <w:tcW w:w="9178"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Inline XBRL Taxonomy Extension Calculation Linkbase Document</w:t>
            </w:r>
          </w:p>
        </w:tc>
      </w:tr>
      <w:tr>
        <w:trPr/>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101.DEF</w:t>
            </w:r>
          </w:p>
        </w:tc>
        <w:tc>
          <w:tcPr>
            <w:tcW w:w="9178"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Inline XBRL Taxonomy Extension Definition Linkbase Document</w:t>
            </w:r>
          </w:p>
        </w:tc>
      </w:tr>
      <w:tr>
        <w:trPr/>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101.LAB</w:t>
            </w:r>
          </w:p>
        </w:tc>
        <w:tc>
          <w:tcPr>
            <w:tcW w:w="9178"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Inline XBRL Taxonomy Extension Label Linkbase Document</w:t>
            </w:r>
          </w:p>
        </w:tc>
      </w:tr>
      <w:tr>
        <w:trPr/>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101.PRE</w:t>
            </w:r>
          </w:p>
        </w:tc>
        <w:tc>
          <w:tcPr>
            <w:tcW w:w="9178"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Inline XBRL Taxonomy Extension Presentation Linkbase Document</w:t>
            </w:r>
          </w:p>
        </w:tc>
      </w:tr>
      <w:tr>
        <w:trPr/>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9178"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Cover Page Interactive Data File, formatted in Inline XBRL and included as Exhibit 101</w:t>
            </w:r>
          </w:p>
        </w:tc>
      </w:tr>
    </w:tbl>
    <w:p>
      <w:pPr>
        <w:pStyle w:val="TextBody"/>
        <w:bidi w:val="0"/>
        <w:spacing w:lineRule="auto" w:line="264" w:before="0" w:after="60"/>
        <w:ind w:left="0" w:right="0" w:hanging="270"/>
        <w:jc w:val="left"/>
        <w:rPr>
          <w:rFonts w:ascii="Arial;sans-serif" w:hAnsi="Arial;sans-serif"/>
          <w:b w:val="false"/>
          <w:color w:val="000000"/>
          <w:sz w:val="15"/>
        </w:rPr>
      </w:pPr>
      <w:r>
        <w:rPr>
          <w:rFonts w:ascii="Arial;sans-serif" w:hAnsi="Arial;sans-serif"/>
          <w:b w:val="false"/>
          <w:color w:val="000000"/>
          <w:sz w:val="15"/>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0"/>
                              <w:jc w:val="left"/>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0"/>
                        <w:jc w:val="left"/>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60"/>
        <w:jc w:val="left"/>
        <w:rPr/>
      </w:pPr>
      <w:r>
        <w:rPr/>
      </w:r>
    </w:p>
    <w:p>
      <w:pPr>
        <w:pStyle w:val="TextBody"/>
        <w:bidi w:val="0"/>
        <w:spacing w:lineRule="auto" w:line="264" w:before="180" w:after="180"/>
        <w:jc w:val="center"/>
        <w:rPr>
          <w:rFonts w:ascii="Arial;sans-serif" w:hAnsi="Arial;sans-serif"/>
          <w:b/>
          <w:color w:val="000000"/>
          <w:sz w:val="24"/>
        </w:rPr>
      </w:pPr>
      <w:r>
        <w:rPr>
          <w:rFonts w:ascii="Arial;sans-serif" w:hAnsi="Arial;sans-serif"/>
          <w:b/>
          <w:color w:val="000000"/>
          <w:sz w:val="24"/>
        </w:rPr>
        <w:t>SIGNATURES</w:t>
      </w:r>
    </w:p>
    <w:p>
      <w:pPr>
        <w:pStyle w:val="TextBody"/>
        <w:bidi w:val="0"/>
        <w:spacing w:lineRule="auto" w:line="264" w:before="180" w:after="18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64" w:before="0" w:after="180"/>
        <w:jc w:val="left"/>
        <w:rPr>
          <w:color w:val="000000"/>
        </w:rPr>
      </w:pPr>
      <w:r>
        <w:rPr>
          <w:color w:val="000000"/>
        </w:rPr>
        <w:t> </w:t>
      </w:r>
    </w:p>
    <w:tbl>
      <w:tblPr>
        <w:tblW w:w="5260" w:type="dxa"/>
        <w:jc w:val="center"/>
        <w:tblInd w:w="0" w:type="dxa"/>
        <w:tblLayout w:type="fixed"/>
        <w:tblCellMar>
          <w:top w:w="28" w:type="dxa"/>
          <w:left w:w="28" w:type="dxa"/>
          <w:bottom w:w="28" w:type="dxa"/>
          <w:right w:w="28" w:type="dxa"/>
        </w:tblCellMar>
      </w:tblPr>
      <w:tblGrid>
        <w:gridCol w:w="656"/>
        <w:gridCol w:w="576"/>
        <w:gridCol w:w="582"/>
        <w:gridCol w:w="109"/>
        <w:gridCol w:w="109"/>
        <w:gridCol w:w="109"/>
        <w:gridCol w:w="912"/>
        <w:gridCol w:w="912"/>
        <w:gridCol w:w="1295"/>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119"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GRAHAM HOLDINGS COMPANY</w:t>
            </w:r>
          </w:p>
        </w:tc>
      </w:tr>
      <w:tr>
        <w:trPr/>
        <w:tc>
          <w:tcPr>
            <w:tcW w:w="181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119"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(Registrant)</w:t>
            </w:r>
          </w:p>
        </w:tc>
      </w:tr>
      <w:tr>
        <w:trPr/>
        <w:tc>
          <w:tcPr>
            <w:tcW w:w="181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119"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181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20"/>
              </w:rPr>
            </w:pPr>
            <w:r>
              <w:rPr>
                <w:rFonts w:ascii="Arial;sans-serif" w:hAnsi="Arial;sans-serif"/>
                <w:b w:val="false"/>
                <w:color w:val="000000"/>
                <w:sz w:val="20"/>
              </w:rPr>
              <w:t>Date: July 30, 2026</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119"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/s/ Timothy J. O’Shaughnessy</w:t>
            </w:r>
          </w:p>
        </w:tc>
      </w:tr>
      <w:tr>
        <w:trPr/>
        <w:tc>
          <w:tcPr>
            <w:tcW w:w="181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1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Timothy J. O’Shaughnessy,</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President &amp; Chief Executive Officer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(Principal Executive Officer)</w:t>
            </w:r>
          </w:p>
        </w:tc>
      </w:tr>
      <w:tr>
        <w:trPr/>
        <w:tc>
          <w:tcPr>
            <w:tcW w:w="181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119"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181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20"/>
              </w:rPr>
            </w:pPr>
            <w:r>
              <w:rPr>
                <w:rFonts w:ascii="Arial;sans-serif" w:hAnsi="Arial;sans-serif"/>
                <w:b w:val="false"/>
                <w:color w:val="000000"/>
                <w:sz w:val="20"/>
              </w:rPr>
              <w:t>Date: July 30, 2026</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119"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/s/ Wallace R. Cooney</w:t>
            </w:r>
          </w:p>
        </w:tc>
      </w:tr>
      <w:tr>
        <w:trPr/>
        <w:tc>
          <w:tcPr>
            <w:tcW w:w="181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1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Wallace R. Cooney,</w:t>
              <w:br/>
              <w:t>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280" w:after="283"/>
        <w:jc w:val="right"/>
        <w:rPr>
          <w:rFonts w:ascii="Arial;sans-serif" w:hAnsi="Arial;sans-serif"/>
          <w:b w:val="false"/>
          <w:color w:val="000000"/>
          <w:sz w:val="20"/>
        </w:rPr>
      </w:pPr>
      <w:r>
        <w:rPr>
          <w:rFonts w:ascii="Arial;sans-serif" w:hAnsi="Arial;sans-serif"/>
          <w:b w:val="false"/>
          <w:color w:val="000000"/>
          <w:sz w:val="20"/>
        </w:rPr>
        <w:t>Exhibit 31.1</w:t>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RULE 13a-14(a)/15d-14(a) CERTIFICATION OF THE CHIEF EXECUTIVE OFFICER</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AS ADOPTED PURSUANT TO SECTION 302 OF THE SARBANES-OXLEY ACT OF 2002</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 Timothy J. O’Shaughnessy, Chief Executive Officer (principal executive officer) of Graham Holdings Company (the “Registrant”), certify that:</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the Registrant;</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00" w:after="283"/>
        <w:jc w:val="left"/>
        <w:rPr>
          <w:color w:val="000000"/>
        </w:rPr>
      </w:pPr>
      <w:r>
        <w:rPr>
          <w:color w:val="000000"/>
        </w:rPr>
        <w:t> </w:t>
      </w:r>
    </w:p>
    <w:p>
      <w:pPr>
        <w:pStyle w:val="TextBody"/>
        <w:bidi w:val="0"/>
        <w:spacing w:before="100" w:after="283"/>
        <w:jc w:val="center"/>
        <w:rPr/>
      </w:pPr>
      <w:r>
        <w:rPr/>
      </w:r>
    </w:p>
    <w:tbl>
      <w:tblPr>
        <w:tblW w:w="3147" w:type="dxa"/>
        <w:jc w:val="left"/>
        <w:tblInd w:w="0" w:type="dxa"/>
        <w:tblLayout w:type="fixed"/>
        <w:tblCellMar>
          <w:top w:w="28" w:type="dxa"/>
          <w:left w:w="28" w:type="dxa"/>
          <w:bottom w:w="28" w:type="dxa"/>
          <w:right w:w="28" w:type="dxa"/>
        </w:tblCellMar>
      </w:tblPr>
      <w:tblGrid>
        <w:gridCol w:w="1006"/>
        <w:gridCol w:w="884"/>
        <w:gridCol w:w="885"/>
        <w:gridCol w:w="109"/>
        <w:gridCol w:w="109"/>
        <w:gridCol w:w="154"/>
      </w:tblGrid>
      <w:tr>
        <w:trPr/>
        <w:tc>
          <w:tcPr>
            <w:tcW w:w="100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Timothy J. O’Shaughnessy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Timothy J. O’Shaughnessy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Executive Officer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July 30,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80" w:after="283"/>
        <w:jc w:val="right"/>
        <w:rPr>
          <w:rFonts w:ascii="Arial;sans-serif" w:hAnsi="Arial;sans-serif"/>
          <w:b w:val="false"/>
          <w:color w:val="000000"/>
          <w:sz w:val="20"/>
        </w:rPr>
      </w:pPr>
      <w:r>
        <w:rPr>
          <w:rFonts w:ascii="Arial;sans-serif" w:hAnsi="Arial;sans-serif"/>
          <w:b w:val="false"/>
          <w:color w:val="000000"/>
          <w:sz w:val="20"/>
        </w:rPr>
        <w:t>Exhibit 31.2</w:t>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RULE 13a-14(a)/15d-14(a) CERTIFICATION OF THE CHIEF FINANCIAL OFFICER</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AS ADOPTED PURSUANT TO SECTION 302 OF THE SARBANES-OXLEY ACT OF 2002</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 Wallace R. Cooney, Chief Financial Officer (principal financial officer) of Graham Holdings Company (the “Registrant”), certify that:</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the Registrant;</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00" w:after="283"/>
        <w:ind w:left="0" w:right="0" w:firstLine="495"/>
        <w:jc w:val="left"/>
        <w:rPr/>
      </w:pPr>
      <w:r>
        <w:rPr/>
      </w:r>
    </w:p>
    <w:p>
      <w:pPr>
        <w:pStyle w:val="TextBody"/>
        <w:bidi w:val="0"/>
        <w:spacing w:lineRule="auto" w:line="288" w:before="100" w:after="283"/>
        <w:ind w:left="0" w:right="0" w:firstLine="495"/>
        <w:jc w:val="left"/>
        <w:rPr>
          <w:color w:val="000000"/>
        </w:rPr>
      </w:pPr>
      <w:r>
        <w:rPr>
          <w:color w:val="000000"/>
        </w:rPr>
        <w:t> </w:t>
      </w:r>
    </w:p>
    <w:tbl>
      <w:tblPr>
        <w:tblW w:w="2441" w:type="dxa"/>
        <w:jc w:val="left"/>
        <w:tblInd w:w="0" w:type="dxa"/>
        <w:tblLayout w:type="fixed"/>
        <w:tblCellMar>
          <w:top w:w="28" w:type="dxa"/>
          <w:left w:w="28" w:type="dxa"/>
          <w:bottom w:w="28" w:type="dxa"/>
          <w:right w:w="28" w:type="dxa"/>
        </w:tblCellMar>
      </w:tblPr>
      <w:tblGrid>
        <w:gridCol w:w="750"/>
        <w:gridCol w:w="657"/>
        <w:gridCol w:w="662"/>
        <w:gridCol w:w="109"/>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Wallace R. Cooney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Wallace R. Cooney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July 30,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80" w:after="283"/>
        <w:jc w:val="right"/>
        <w:rPr>
          <w:rFonts w:ascii="Arial;sans-serif" w:hAnsi="Arial;sans-serif"/>
          <w:b w:val="false"/>
          <w:color w:val="000000"/>
          <w:sz w:val="20"/>
        </w:rPr>
      </w:pPr>
      <w:r>
        <w:rPr>
          <w:rFonts w:ascii="Arial;sans-serif" w:hAnsi="Arial;sans-serif"/>
          <w:b w:val="false"/>
          <w:color w:val="000000"/>
          <w:sz w:val="20"/>
        </w:rPr>
        <w:t>Exhibit 32</w:t>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SECTION 1350 CERTIFICATION OF THE CHIEF EXECUTIVE OFFICER AND THE CHIEF FINANCIAL</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OFFICER</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AS ADOPTED PURSUANT TO SECTION 906 OF THE SARBANES-OXLEY ACT OF 2002</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In connection with the Quarterly Report of Graham Holdings Company (the “Company”) on Form 10-Q for the period ended June 30, 2026 (the “Report”), Timothy J. O’Shaughnessy, Chief Executive Officer (principal executive officer) of the Company and Wallace R. Cooney, Chief Financial Officer (principal financial officer) of the Company, each hereby certifies, pursuant to 18 U.S.C. Section 1350, as adopted pursuant to Section 906 of the Sarbanes-Oxley Act of 2002, that:</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3147" w:type="dxa"/>
        <w:jc w:val="left"/>
        <w:tblInd w:w="0" w:type="dxa"/>
        <w:tblLayout w:type="fixed"/>
        <w:tblCellMar>
          <w:top w:w="28" w:type="dxa"/>
          <w:left w:w="28" w:type="dxa"/>
          <w:bottom w:w="28" w:type="dxa"/>
          <w:right w:w="28" w:type="dxa"/>
        </w:tblCellMar>
      </w:tblPr>
      <w:tblGrid>
        <w:gridCol w:w="1006"/>
        <w:gridCol w:w="884"/>
        <w:gridCol w:w="885"/>
        <w:gridCol w:w="109"/>
        <w:gridCol w:w="109"/>
        <w:gridCol w:w="154"/>
      </w:tblGrid>
      <w:tr>
        <w:trPr/>
        <w:tc>
          <w:tcPr>
            <w:tcW w:w="100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Timothy J. O’Shaughnessy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Timothy J. O’Shaughnessy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Executive Officer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July 30, 2026 </w:t>
      </w:r>
    </w:p>
    <w:p>
      <w:pPr>
        <w:pStyle w:val="TextBody"/>
        <w:bidi w:val="0"/>
        <w:spacing w:lineRule="auto" w:line="288" w:before="0" w:after="0"/>
        <w:jc w:val="left"/>
        <w:rPr>
          <w:color w:val="000000"/>
        </w:rPr>
      </w:pPr>
      <w:r>
        <w:rPr>
          <w:color w:val="000000"/>
        </w:rPr>
        <w:t> </w:t>
      </w:r>
    </w:p>
    <w:tbl>
      <w:tblPr>
        <w:tblW w:w="2441" w:type="dxa"/>
        <w:jc w:val="left"/>
        <w:tblInd w:w="0" w:type="dxa"/>
        <w:tblLayout w:type="fixed"/>
        <w:tblCellMar>
          <w:top w:w="28" w:type="dxa"/>
          <w:left w:w="28" w:type="dxa"/>
          <w:bottom w:w="28" w:type="dxa"/>
          <w:right w:w="28" w:type="dxa"/>
        </w:tblCellMar>
      </w:tblPr>
      <w:tblGrid>
        <w:gridCol w:w="750"/>
        <w:gridCol w:w="657"/>
        <w:gridCol w:w="662"/>
        <w:gridCol w:w="109"/>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Wallace R. Cooney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Wallace R. Cooney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July 30, 2026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4889/000095013304000785/w94191exv3w1.htm" TargetMode="External"/><Relationship Id="rId3" Type="http://schemas.openxmlformats.org/officeDocument/2006/relationships/hyperlink" Target="https://www.sec.gov/Archives/edgar/data/104889/000095015713000428/ex3-1.htm" TargetMode="External"/><Relationship Id="rId4" Type="http://schemas.openxmlformats.org/officeDocument/2006/relationships/hyperlink" Target="https://www.sec.gov/Archives/edgar/data/104889/000010488924000047/a2024-09x12form8xkexhibit31.htm" TargetMode="External"/><Relationship Id="rId5" Type="http://schemas.openxmlformats.org/officeDocument/2006/relationships/hyperlink" Target="https://www.sec.gov/Archives/edgar/data/104889/000162828025053825/a2025-11x24form8xkexhibit4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26348</Words>
  <Characters>147965</Characters>
  <CharactersWithSpaces>172124</CharactersWithSpaces>
  <Paragraphs>4918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