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696" w:type="dxa"/>
        <w:jc w:val="left"/>
        <w:tblInd w:w="0" w:type="dxa"/>
        <w:tblLayout w:type="fixed"/>
        <w:tblCellMar>
          <w:top w:w="28" w:type="dxa"/>
          <w:left w:w="28" w:type="dxa"/>
          <w:bottom w:w="28" w:type="dxa"/>
          <w:right w:w="28" w:type="dxa"/>
        </w:tblCellMar>
      </w:tblPr>
      <w:tblGrid>
        <w:gridCol w:w="7696"/>
      </w:tblGrid>
      <w:tr>
        <w:trPr/>
        <w:tc>
          <w:tcPr>
            <w:tcW w:w="769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69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696" w:type="dxa"/>
            <w:tcBorders/>
            <w:vAlign w:val="center"/>
          </w:tcPr>
          <w:p>
            <w:pPr>
              <w:pStyle w:val="TableContents"/>
              <w:bidi w:val="0"/>
              <w:spacing w:before="0" w:after="0"/>
              <w:jc w:val="left"/>
              <w:rPr/>
            </w:pPr>
            <w:r>
              <w:rPr/>
              <w:t xml:space="preserve">UNDER THE SECURITIES EXCHANGE ACT OF 1934 </w:t>
            </w:r>
          </w:p>
        </w:tc>
      </w:tr>
      <w:tr>
        <w:trPr/>
        <w:tc>
          <w:tcPr>
            <w:tcW w:w="7696" w:type="dxa"/>
            <w:tcBorders/>
            <w:vAlign w:val="center"/>
          </w:tcPr>
          <w:p>
            <w:pPr>
              <w:pStyle w:val="TableContents"/>
              <w:bidi w:val="0"/>
              <w:spacing w:before="0" w:after="283"/>
              <w:jc w:val="left"/>
              <w:rPr>
                <w:sz w:val="4"/>
                <w:szCs w:val="4"/>
              </w:rPr>
            </w:pPr>
            <w:r>
              <w:rPr>
                <w:sz w:val="4"/>
                <w:szCs w:val="4"/>
              </w:rPr>
            </w:r>
          </w:p>
        </w:tc>
      </w:tr>
      <w:tr>
        <w:trPr/>
        <w:tc>
          <w:tcPr>
            <w:tcW w:w="7696" w:type="dxa"/>
            <w:tcBorders/>
            <w:vAlign w:val="center"/>
          </w:tcPr>
          <w:p>
            <w:pPr>
              <w:pStyle w:val="TableContents"/>
              <w:bidi w:val="0"/>
              <w:spacing w:before="0" w:after="0"/>
              <w:jc w:val="center"/>
              <w:rPr>
                <w:b/>
                <w:color w:val="0000FF"/>
              </w:rPr>
            </w:pPr>
            <w:r>
              <w:rPr>
                <w:b/>
                <w:color w:val="0000FF"/>
              </w:rPr>
              <w:t>Graham Holdings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696" w:type="dxa"/>
            <w:tcBorders/>
            <w:vAlign w:val="center"/>
          </w:tcPr>
          <w:p>
            <w:pPr>
              <w:pStyle w:val="TableContents"/>
              <w:bidi w:val="0"/>
              <w:spacing w:before="0" w:after="0"/>
              <w:jc w:val="center"/>
              <w:rPr>
                <w:b/>
                <w:color w:val="0000FF"/>
              </w:rPr>
            </w:pPr>
            <w:r>
              <w:rPr>
                <w:b/>
                <w:color w:val="0000FF"/>
              </w:rPr>
              <w:t>Class B Common Stock, par value $1.00 per share (the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69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69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International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EMAI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Caraway Jackson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Samaha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246,368.00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246,368.00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Graham Holdings Co</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1812 North Moore Street, Suite 2100, Arlington, VA 22209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 Madison Avenue International LP, * Madison Avenue Partners, LP, * EMAI Management, LLC, * Madison Avenue GP, LLC, * Caraway Jackson Investments LLC, and * Eli Samaha.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150 East 58th St, 14th Fl, New York, NY 10155.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 par value $1.00 per share (the "Common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Madison Avenue International LP beneficially owned 246,368 shares of Common Stock. Madison Avenue Partners, LP and Madison Avenue GP, LLC, as the investment manager and general partner of Madison Avenue International LP, respectively, may be deemed to be the beneficial owner of the shares of Common Stock owned directly by Madison Avenue International LP. EMAI Management, LLC, as the general partner of Madison Avenue Partners, LP, may be deemed to be the beneficial owner of the shares of Common Stock owned directly by Madison Avenue International LP. Caraway Jackson Investments LLC, as the owner of Madison Avenue GP, LLC, may be deemed to be the beneficial owner of the shares of Common Stock owned directly by Madison Avenue International LP. Mr. Samaha, as the non-member manager of Madison Avenue GP, LLC, the managing member of EMAI Management, LLC, and the majority owner of Caraway Jackson Investments LLC, may be deemed to be the beneficial owner of the shares of Common Stock owned by Madison Avenue International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on 3,270,927 shares of Class B Common Stock outstanding as of July 24, 2026, as disclosed in the Issuer's Quarterly Report on Form 10-Q, filed with the Securities and Exchange Commission on July 30, 2026. As of June 30, 2026 the Reporting Persons may be deemed to have beneficially owned approximately 7.5% of the outstanding shares of Common Stock.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Madison Avenue International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Eli Samaha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Eli Samaha, as Manager of Madison Avenue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Madison Avenue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Eli Samaha</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Eli Samaha, as Managing Member of EMAI Management, LLC, its General Partner</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EMAI Management,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Madison Avenue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Caraway Jackson Investments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Eli Samaha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Eli Samaha, as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Eli Samaha</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Eli Samaha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ELI SAMAHA</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b/>
          <w:caps/>
          <w:sz w:val="20"/>
        </w:rPr>
      </w:pPr>
      <w:bookmarkStart w:id="36" w:name="ex991-exhibita.htm"/>
      <w:bookmarkStart w:id="37" w:name="ksex991exhibita"/>
      <w:bookmarkEnd w:id="36"/>
      <w:bookmarkEnd w:id="37"/>
      <w:r>
        <w:rPr>
          <w:b/>
          <w:caps/>
          <w:sz w:val="20"/>
        </w:rPr>
        <w:t xml:space="preserve">EXHIBIT A </w:t>
      </w:r>
      <w:r>
        <w:br w:type="page"/>
      </w:r>
    </w:p>
    <w:p>
      <w:pPr>
        <w:pStyle w:val="TextBody"/>
        <w:bidi w:val="0"/>
        <w:spacing w:before="0" w:after="240"/>
        <w:jc w:val="center"/>
        <w:rPr>
          <w:b/>
          <w:caps/>
          <w:sz w:val="20"/>
        </w:rPr>
      </w:pPr>
      <w:r>
        <w:rPr>
          <w:b/>
          <w:caps/>
          <w:sz w:val="20"/>
        </w:rPr>
        <w:t xml:space="preserve">JOINT FILING AGREEMENT </w:t>
      </w:r>
    </w:p>
    <w:p>
      <w:pPr>
        <w:pStyle w:val="TextBody"/>
        <w:bidi w:val="0"/>
        <w:spacing w:before="0" w:after="240"/>
        <w:ind w:left="0" w:right="0" w:firstLine="720"/>
        <w:jc w:val="left"/>
        <w:rPr>
          <w:sz w:val="20"/>
        </w:rPr>
      </w:pPr>
      <w:r>
        <w:rPr>
          <w:sz w:val="20"/>
        </w:rPr>
        <w:t xml:space="preserve">The undersigned hereby agree that the statement on Schedule 13G with respect to the shares of Common Stock of Graham Holdings Company dated as of May 30, 2024 is, and any further amendments thereto signed by each of the undersigned shall be, filed on behalf of each of the undersigned pursuant to and in accordance with the provisions of Rule 13d-1(k)(2) under the Securities Exchange Act of 1934, as amended. </w:t>
      </w:r>
    </w:p>
    <w:p>
      <w:pPr>
        <w:pStyle w:val="TextBody"/>
        <w:bidi w:val="0"/>
        <w:spacing w:before="0" w:after="240"/>
        <w:ind w:left="0" w:right="0" w:hanging="1080"/>
        <w:jc w:val="left"/>
        <w:rPr>
          <w:sz w:val="20"/>
        </w:rPr>
      </w:pPr>
      <w:r>
        <w:rPr>
          <w:sz w:val="20"/>
        </w:rPr>
        <w:t xml:space="preserve">Dated: August 14, 2026 </w:t>
      </w:r>
    </w:p>
    <w:p>
      <w:pPr>
        <w:pStyle w:val="TextBody"/>
        <w:bidi w:val="0"/>
        <w:spacing w:before="0" w:after="0"/>
        <w:jc w:val="left"/>
        <w:rPr>
          <w:b/>
          <w:caps/>
          <w:color w:val="000000"/>
          <w:sz w:val="20"/>
        </w:rPr>
      </w:pPr>
      <w:r>
        <w:rPr>
          <w:b/>
          <w:caps/>
          <w:color w:val="000000"/>
          <w:sz w:val="20"/>
        </w:rPr>
        <w:t xml:space="preserve">Madison Avenue International LP </w:t>
      </w:r>
    </w:p>
    <w:p>
      <w:pPr>
        <w:pStyle w:val="TextBody"/>
        <w:bidi w:val="0"/>
        <w:spacing w:before="0" w:after="0"/>
        <w:jc w:val="left"/>
        <w:rPr/>
      </w:pPr>
      <w:r>
        <w:rPr>
          <w:color w:val="000000"/>
          <w:sz w:val="20"/>
        </w:rPr>
        <w:t>By: Madison Avenue GP, LLC, its general partner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Madison Avenue Partners, LP</w:t>
      </w:r>
      <w:r>
        <w:rPr/>
        <w:t xml:space="preserve"> </w:t>
      </w:r>
    </w:p>
    <w:p>
      <w:pPr>
        <w:pStyle w:val="TextBody"/>
        <w:bidi w:val="0"/>
        <w:spacing w:before="0" w:after="0"/>
        <w:jc w:val="left"/>
        <w:rPr/>
      </w:pPr>
      <w:r>
        <w:rPr>
          <w:color w:val="000000"/>
          <w:sz w:val="20"/>
        </w:rPr>
        <w:t>By: EMAI Management, LLC, its general partner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Managing Member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EMAI Management,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Managing Member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Madison Avenue GP,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Caraway Jackson Investments,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Member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u w:val="single"/>
        </w:rPr>
        <w:t>/s/ Eli Samaha                      </w:t>
      </w:r>
      <w:r>
        <w:rPr/>
        <w:t xml:space="preserve"> </w:t>
      </w:r>
    </w:p>
    <w:p>
      <w:pPr>
        <w:pStyle w:val="TextBody"/>
        <w:bidi w:val="0"/>
        <w:spacing w:before="0" w:after="240"/>
        <w:jc w:val="both"/>
        <w:rPr>
          <w:b/>
          <w:caps/>
          <w:sz w:val="20"/>
        </w:rPr>
      </w:pPr>
      <w:r>
        <w:rPr>
          <w:b/>
          <w:caps/>
          <w:color w:val="000000"/>
          <w:sz w:val="20"/>
        </w:rPr>
        <w:t>Eli Samaha</w:t>
      </w:r>
      <w:r>
        <w:rPr>
          <w:b/>
          <w:caps/>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1955</Words>
  <Characters>9988</Characters>
  <CharactersWithSpaces>11987</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