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GRAHAM DONALD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GRAHAM HOLDINGS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1812 NORTH MOORE STREET, SUITE 2100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Graham Holdings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GHC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0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0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0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636"/>
        <w:gridCol w:w="801"/>
        <w:gridCol w:w="936"/>
        <w:gridCol w:w="831"/>
        <w:gridCol w:w="1101"/>
      </w:tblGrid>
      <w:tr>
        <w:trPr>
          <w:tblHeader w:val="true"/>
        </w:trPr>
        <w:tc>
          <w:tcPr>
            <w:tcW w:w="1220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0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11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0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150,469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0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J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12,633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B 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375,592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I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Beneficiary of Trusts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of Class A Common Stock are convertible into shares of Class B Common Stock at any time on a one-for-one basis and have no expiration date.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Distribution of Class A shares pursuant to the terms of a trust of which the reporting person is a trustee and beneficiary.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N/A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Nicole Maddrey,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018401" TargetMode="External"/><Relationship Id="rId5" Type="http://schemas.openxmlformats.org/officeDocument/2006/relationships/hyperlink" Target="http://www.sec.gov/cgi-bin/browse-edgar?action=getcompany&amp;CIK=00001048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644</Words>
  <Characters>3422</Characters>
  <CharactersWithSpaces>3984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